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0F" w:rsidRPr="007003C6" w:rsidRDefault="002C2389" w:rsidP="007A6D1B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003C6">
        <w:rPr>
          <w:rFonts w:asciiTheme="minorHAnsi" w:hAnsiTheme="minorHAnsi"/>
          <w:b/>
          <w:sz w:val="28"/>
          <w:szCs w:val="28"/>
        </w:rPr>
        <w:t>Marshall University</w:t>
      </w:r>
      <w:r w:rsidR="00E21A0F" w:rsidRPr="007003C6">
        <w:rPr>
          <w:rFonts w:asciiTheme="minorHAnsi" w:hAnsiTheme="minorHAnsi"/>
          <w:b/>
          <w:sz w:val="28"/>
          <w:szCs w:val="28"/>
        </w:rPr>
        <w:t xml:space="preserve"> </w:t>
      </w:r>
    </w:p>
    <w:p w:rsidR="008E6EE1" w:rsidRPr="00E21A0F" w:rsidRDefault="00491DAA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003C6">
        <w:rPr>
          <w:rFonts w:asciiTheme="minorHAnsi" w:hAnsiTheme="minorHAnsi"/>
          <w:b/>
          <w:sz w:val="28"/>
          <w:szCs w:val="28"/>
        </w:rPr>
        <w:t>Course Syllabus</w:t>
      </w:r>
      <w:r w:rsidR="00990984"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8100"/>
      </w:tblGrid>
      <w:tr w:rsidR="00866B26" w:rsidRPr="00E21A0F" w:rsidTr="00B46E6C">
        <w:tc>
          <w:tcPr>
            <w:tcW w:w="216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8100" w:type="dxa"/>
          </w:tcPr>
          <w:p w:rsidR="00866B26" w:rsidRPr="00E21A0F" w:rsidRDefault="00491DAA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CJ 322:  Criminal Law</w:t>
            </w:r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8100" w:type="dxa"/>
          </w:tcPr>
          <w:p w:rsidR="00866B26" w:rsidRPr="00E21A0F" w:rsidRDefault="00880251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Spring, 2017</w:t>
            </w:r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8100" w:type="dxa"/>
          </w:tcPr>
          <w:p w:rsidR="00866B26" w:rsidRPr="00E21A0F" w:rsidRDefault="00880251" w:rsidP="0088025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 2</w:t>
            </w:r>
            <w:r w:rsidR="00491DAA">
              <w:rPr>
                <w:rFonts w:asciiTheme="minorHAnsi" w:hAnsiTheme="minorHAnsi"/>
                <w:sz w:val="22"/>
                <w:szCs w:val="22"/>
              </w:rPr>
              <w:t>01</w:t>
            </w:r>
            <w:r w:rsidR="00B46E6C">
              <w:rPr>
                <w:rFonts w:asciiTheme="minorHAnsi" w:hAnsiTheme="minorHAnsi"/>
                <w:sz w:val="22"/>
                <w:szCs w:val="22"/>
              </w:rPr>
              <w:t xml:space="preserve"> (CRN </w:t>
            </w:r>
            <w:r>
              <w:rPr>
                <w:rFonts w:asciiTheme="minorHAnsi" w:hAnsiTheme="minorHAnsi"/>
                <w:sz w:val="22"/>
                <w:szCs w:val="22"/>
              </w:rPr>
              <w:t>2687</w:t>
            </w:r>
            <w:r w:rsidR="00B46E6C">
              <w:rPr>
                <w:rFonts w:asciiTheme="minorHAnsi" w:hAnsiTheme="minorHAnsi"/>
                <w:sz w:val="22"/>
                <w:szCs w:val="22"/>
              </w:rPr>
              <w:t>)</w:t>
            </w:r>
            <w:r w:rsidR="00491DAA">
              <w:rPr>
                <w:rFonts w:asciiTheme="minorHAnsi" w:hAnsiTheme="minorHAnsi"/>
                <w:sz w:val="22"/>
                <w:szCs w:val="22"/>
              </w:rPr>
              <w:t>:  TR 9:30 – 10:45 am</w:t>
            </w:r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8100" w:type="dxa"/>
          </w:tcPr>
          <w:p w:rsidR="00866B26" w:rsidRPr="00E21A0F" w:rsidRDefault="00491DAA" w:rsidP="00B46E6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418 </w:t>
            </w:r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8100" w:type="dxa"/>
          </w:tcPr>
          <w:p w:rsidR="00866B26" w:rsidRPr="00E21A0F" w:rsidRDefault="00491DA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Margaret Phipps Brown</w:t>
            </w:r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8100" w:type="dxa"/>
          </w:tcPr>
          <w:p w:rsidR="00866B26" w:rsidRPr="00E21A0F" w:rsidRDefault="00491DA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735, Marshall University, One John Marshall Drive, Huntington, WV  25755</w:t>
            </w:r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8100" w:type="dxa"/>
          </w:tcPr>
          <w:p w:rsidR="00866B26" w:rsidRPr="00E21A0F" w:rsidRDefault="00491DA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304-696-3086; 304-696-3085 (fax)</w:t>
            </w:r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8100" w:type="dxa"/>
          </w:tcPr>
          <w:p w:rsidR="00866B26" w:rsidRPr="00E21A0F" w:rsidRDefault="005753D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1DAA" w:rsidRPr="008B771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brownmp@marshall.edu</w:t>
              </w:r>
            </w:hyperlink>
          </w:p>
        </w:tc>
      </w:tr>
      <w:tr w:rsidR="00866B26" w:rsidRPr="00E21A0F" w:rsidTr="00B46E6C">
        <w:tc>
          <w:tcPr>
            <w:tcW w:w="216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8100" w:type="dxa"/>
          </w:tcPr>
          <w:p w:rsidR="00866B26" w:rsidRPr="00E21A0F" w:rsidRDefault="00B46E6C" w:rsidP="0088025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Tuesday &amp; Thursday:  </w:t>
            </w:r>
            <w:r w:rsidR="00880251">
              <w:rPr>
                <w:rFonts w:asciiTheme="minorHAnsi" w:hAnsiTheme="minorHAnsi"/>
                <w:sz w:val="22"/>
                <w:szCs w:val="22"/>
              </w:rPr>
              <w:t>11:00 am – 12:00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0251">
              <w:rPr>
                <w:rFonts w:asciiTheme="minorHAnsi" w:hAnsiTheme="minorHAnsi"/>
                <w:sz w:val="22"/>
                <w:szCs w:val="22"/>
              </w:rPr>
              <w:t>noon; 2:00 – 4:00 pm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491DAA">
              <w:rPr>
                <w:rFonts w:asciiTheme="minorHAnsi" w:hAnsiTheme="minorHAnsi"/>
                <w:sz w:val="22"/>
                <w:szCs w:val="22"/>
              </w:rPr>
              <w:t>Appointments at other hours</w:t>
            </w:r>
            <w:r w:rsidR="007A5594">
              <w:rPr>
                <w:rFonts w:asciiTheme="minorHAnsi" w:hAnsiTheme="minorHAnsi"/>
                <w:sz w:val="22"/>
                <w:szCs w:val="22"/>
              </w:rPr>
              <w:t xml:space="preserve"> or on other days</w:t>
            </w:r>
            <w:r w:rsidR="00491DAA">
              <w:rPr>
                <w:rFonts w:asciiTheme="minorHAnsi" w:hAnsiTheme="minorHAnsi"/>
                <w:sz w:val="22"/>
                <w:szCs w:val="22"/>
              </w:rPr>
              <w:t xml:space="preserve"> are available by request.</w:t>
            </w:r>
          </w:p>
        </w:tc>
      </w:tr>
      <w:tr w:rsidR="00FF6464" w:rsidRPr="00E21A0F" w:rsidTr="00B46E6C">
        <w:tc>
          <w:tcPr>
            <w:tcW w:w="216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810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2C2389" w:rsidRPr="00E21A0F" w:rsidRDefault="00491DAA" w:rsidP="00E85C8E">
            <w:pPr>
              <w:rPr>
                <w:rFonts w:asciiTheme="minorHAnsi" w:hAnsiTheme="minorHAnsi"/>
                <w:sz w:val="22"/>
                <w:szCs w:val="22"/>
              </w:rPr>
            </w:pPr>
            <w:r w:rsidRPr="00491DAA">
              <w:rPr>
                <w:rFonts w:asciiTheme="minorHAnsi" w:hAnsiTheme="minorHAnsi" w:cstheme="minorHAnsi"/>
                <w:sz w:val="22"/>
                <w:szCs w:val="22"/>
              </w:rPr>
              <w:t>This course covers the history and development of criminal law; elements of a crime; parties to a crime; and types of offenses.</w:t>
            </w:r>
            <w:r w:rsidR="00E85C8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91DAA">
              <w:rPr>
                <w:rFonts w:asciiTheme="minorHAnsi" w:hAnsiTheme="minorHAnsi" w:cstheme="minorHAnsi"/>
                <w:sz w:val="22"/>
                <w:szCs w:val="22"/>
              </w:rPr>
              <w:t>PR:  Introduction to Criminal Justice, or permission.</w:t>
            </w:r>
          </w:p>
        </w:tc>
      </w:tr>
    </w:tbl>
    <w:p w:rsidR="00EF542D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C70C8" w:rsidRPr="00EC70C8" w:rsidRDefault="00EC70C8" w:rsidP="00EF542D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 Learning Outcomes</w:t>
      </w:r>
    </w:p>
    <w:p w:rsidR="00EC70C8" w:rsidRDefault="00EC70C8" w:rsidP="00EF542D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260"/>
      </w:tblGrid>
      <w:tr w:rsidR="00EC70C8" w:rsidTr="00EC70C8">
        <w:trPr>
          <w:cantSplit/>
          <w:trHeight w:val="557"/>
        </w:trPr>
        <w:tc>
          <w:tcPr>
            <w:tcW w:w="10260" w:type="dxa"/>
            <w:tcMar>
              <w:left w:w="115" w:type="dxa"/>
              <w:right w:w="115" w:type="dxa"/>
            </w:tcMar>
            <w:vAlign w:val="center"/>
          </w:tcPr>
          <w:p w:rsidR="00EC70C8" w:rsidRPr="00EC70C8" w:rsidRDefault="0049766C" w:rsidP="006005C9">
            <w:pPr>
              <w:pStyle w:val="NoSpacing"/>
            </w:pPr>
            <w:r>
              <w:t>1.</w:t>
            </w:r>
            <w:r w:rsidR="00EC70C8">
              <w:t xml:space="preserve"> Students will </w:t>
            </w:r>
            <w:r w:rsidR="00EC70C8" w:rsidRPr="00EC70C8">
              <w:rPr>
                <w:i/>
              </w:rPr>
              <w:t>identify</w:t>
            </w:r>
            <w:r w:rsidR="00EC70C8">
              <w:t xml:space="preserve"> the components, roles, and practices that are integral to the criminal justice system using specialized terminology.</w:t>
            </w:r>
          </w:p>
        </w:tc>
      </w:tr>
      <w:tr w:rsidR="00EC70C8" w:rsidTr="00EC70C8">
        <w:trPr>
          <w:cantSplit/>
        </w:trPr>
        <w:tc>
          <w:tcPr>
            <w:tcW w:w="10260" w:type="dxa"/>
          </w:tcPr>
          <w:p w:rsidR="00EC70C8" w:rsidRPr="00EC70C8" w:rsidRDefault="0049766C" w:rsidP="006005C9">
            <w:pPr>
              <w:pStyle w:val="NoSpacing"/>
            </w:pPr>
            <w:r>
              <w:t>2.</w:t>
            </w:r>
            <w:r w:rsidR="00EC70C8">
              <w:t xml:space="preserve"> Students will </w:t>
            </w:r>
            <w:r w:rsidR="00EC70C8" w:rsidRPr="00EC70C8">
              <w:rPr>
                <w:i/>
              </w:rPr>
              <w:t>interpret</w:t>
            </w:r>
            <w:r w:rsidR="00EC70C8">
              <w:t xml:space="preserve"> scholarly research in the field of criminal justice/criminology and </w:t>
            </w:r>
            <w:r w:rsidR="00EC70C8" w:rsidRPr="00EC70C8">
              <w:rPr>
                <w:i/>
              </w:rPr>
              <w:t xml:space="preserve">describe </w:t>
            </w:r>
            <w:r w:rsidR="00EC70C8">
              <w:t>the limitations and/or potential policy implications.</w:t>
            </w:r>
          </w:p>
        </w:tc>
      </w:tr>
      <w:tr w:rsidR="00EC70C8" w:rsidTr="00EC70C8">
        <w:trPr>
          <w:cantSplit/>
        </w:trPr>
        <w:tc>
          <w:tcPr>
            <w:tcW w:w="10260" w:type="dxa"/>
          </w:tcPr>
          <w:p w:rsidR="00EC70C8" w:rsidRPr="00EC70C8" w:rsidRDefault="0049766C" w:rsidP="006005C9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  <w:r w:rsidR="00EC70C8" w:rsidRPr="00EC70C8">
              <w:rPr>
                <w:b/>
              </w:rPr>
              <w:t xml:space="preserve"> Students will </w:t>
            </w:r>
            <w:r w:rsidR="00EC70C8" w:rsidRPr="00EC70C8">
              <w:rPr>
                <w:b/>
                <w:i/>
              </w:rPr>
              <w:t>examine</w:t>
            </w:r>
            <w:r w:rsidR="00EC70C8" w:rsidRPr="00EC70C8">
              <w:rPr>
                <w:b/>
              </w:rPr>
              <w:t xml:space="preserve"> the principles of substantive, procedural, and evidentiary criminal law that regulate and guide the criminal justice system and its primary actors.</w:t>
            </w:r>
          </w:p>
        </w:tc>
      </w:tr>
      <w:tr w:rsidR="00EC70C8" w:rsidTr="00EC70C8">
        <w:trPr>
          <w:cantSplit/>
        </w:trPr>
        <w:tc>
          <w:tcPr>
            <w:tcW w:w="10260" w:type="dxa"/>
          </w:tcPr>
          <w:p w:rsidR="00EC70C8" w:rsidRPr="00EC70C8" w:rsidRDefault="0049766C" w:rsidP="006005C9">
            <w:pPr>
              <w:pStyle w:val="NoSpacing"/>
            </w:pPr>
            <w:r>
              <w:t xml:space="preserve">4. </w:t>
            </w:r>
            <w:r w:rsidR="00EC70C8">
              <w:t xml:space="preserve">Students will </w:t>
            </w:r>
            <w:r w:rsidR="00EC70C8" w:rsidRPr="00EC70C8">
              <w:rPr>
                <w:i/>
              </w:rPr>
              <w:t>explain</w:t>
            </w:r>
            <w:r w:rsidR="00EC70C8">
              <w:t xml:space="preserve"> the nature, extent, causation, and prevention of crime using theoretical foundations in criminal justice/criminology.</w:t>
            </w:r>
          </w:p>
        </w:tc>
      </w:tr>
      <w:tr w:rsidR="00EC70C8" w:rsidTr="00EC70C8">
        <w:trPr>
          <w:cantSplit/>
        </w:trPr>
        <w:tc>
          <w:tcPr>
            <w:tcW w:w="10260" w:type="dxa"/>
          </w:tcPr>
          <w:p w:rsidR="00EC70C8" w:rsidRPr="00EC70C8" w:rsidRDefault="0049766C" w:rsidP="006005C9">
            <w:pPr>
              <w:pStyle w:val="NoSpacing"/>
            </w:pPr>
            <w:r>
              <w:t>5.</w:t>
            </w:r>
            <w:r w:rsidR="00EC70C8">
              <w:t xml:space="preserve"> Students will </w:t>
            </w:r>
            <w:r w:rsidR="00EC70C8" w:rsidRPr="00EC70C8">
              <w:rPr>
                <w:i/>
              </w:rPr>
              <w:t>incorporate</w:t>
            </w:r>
            <w:r w:rsidR="00EC70C8">
              <w:t xml:space="preserve"> information from relevant media sources to support a written product with citations that follow the </w:t>
            </w:r>
            <w:r w:rsidR="00EC70C8" w:rsidRPr="00EC70C8">
              <w:rPr>
                <w:i/>
              </w:rPr>
              <w:t>APA Publication Manual</w:t>
            </w:r>
            <w:r w:rsidR="00EC70C8">
              <w:t>.</w:t>
            </w:r>
          </w:p>
        </w:tc>
      </w:tr>
    </w:tbl>
    <w:p w:rsidR="00EC70C8" w:rsidRPr="00E21A0F" w:rsidRDefault="00EC70C8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49766C" w:rsidRDefault="0049766C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2880"/>
      </w:tblGrid>
      <w:tr w:rsidR="00E21A0F" w:rsidRPr="00E21A0F" w:rsidTr="002D0988">
        <w:trPr>
          <w:trHeight w:val="512"/>
        </w:trPr>
        <w:tc>
          <w:tcPr>
            <w:tcW w:w="41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3240" w:type="dxa"/>
          </w:tcPr>
          <w:p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:rsidTr="002D0988">
        <w:tc>
          <w:tcPr>
            <w:tcW w:w="4140" w:type="dxa"/>
          </w:tcPr>
          <w:p w:rsidR="00E21A0F" w:rsidRDefault="00E21A0F" w:rsidP="00E85C8E">
            <w:pPr>
              <w:pStyle w:val="NoSpacing"/>
            </w:pPr>
            <w:r w:rsidRPr="00E21A0F">
              <w:t xml:space="preserve">Students will </w:t>
            </w:r>
            <w:r w:rsidR="00E85C8E">
              <w:t>be able to describe and explain the basic concepts of criminal law, including:</w:t>
            </w:r>
          </w:p>
          <w:p w:rsid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>The decision to criminalize conduct</w:t>
            </w:r>
          </w:p>
          <w:p w:rsid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>The various philosophies of punishment</w:t>
            </w:r>
          </w:p>
          <w:p w:rsid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>Constitutional limits on criminal law</w:t>
            </w:r>
          </w:p>
          <w:p w:rsid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 xml:space="preserve">The concepts of </w:t>
            </w:r>
            <w:r w:rsidRPr="003D3E6A">
              <w:rPr>
                <w:i/>
              </w:rPr>
              <w:t>mens rea</w:t>
            </w:r>
            <w:r>
              <w:t xml:space="preserve"> and </w:t>
            </w:r>
            <w:r w:rsidRPr="003D3E6A">
              <w:rPr>
                <w:i/>
              </w:rPr>
              <w:t>actus reus</w:t>
            </w:r>
          </w:p>
          <w:p w:rsid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>Inchoate crime</w:t>
            </w:r>
          </w:p>
          <w:p w:rsid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>Party liability (complicity)</w:t>
            </w:r>
          </w:p>
          <w:p w:rsid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>Types and elements of criminal offenses</w:t>
            </w:r>
          </w:p>
          <w:p w:rsidR="00E85C8E" w:rsidRPr="00E85C8E" w:rsidRDefault="00E85C8E" w:rsidP="00E85C8E">
            <w:pPr>
              <w:pStyle w:val="NoSpacing"/>
              <w:numPr>
                <w:ilvl w:val="0"/>
                <w:numId w:val="26"/>
              </w:numPr>
            </w:pPr>
            <w:r>
              <w:t>Types and elements of defenses to criminal conduct</w:t>
            </w:r>
          </w:p>
        </w:tc>
        <w:tc>
          <w:tcPr>
            <w:tcW w:w="3240" w:type="dxa"/>
          </w:tcPr>
          <w:p w:rsidR="00E21A0F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E85C8E">
              <w:t>Readings in the textbook</w:t>
            </w:r>
          </w:p>
          <w:p w:rsidR="00E85C8E" w:rsidRPr="00E85C8E" w:rsidRDefault="00E85C8E" w:rsidP="00E85C8E">
            <w:pPr>
              <w:pStyle w:val="NoSpacing"/>
              <w:numPr>
                <w:ilvl w:val="0"/>
                <w:numId w:val="25"/>
              </w:numPr>
            </w:pPr>
            <w:r>
              <w:t>C</w:t>
            </w:r>
            <w:r w:rsidRPr="00E85C8E">
              <w:t>lassroom discussion</w:t>
            </w:r>
          </w:p>
          <w:p w:rsidR="00E85C8E" w:rsidRPr="00E85C8E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E85C8E">
              <w:t>Case Briefs</w:t>
            </w:r>
          </w:p>
          <w:p w:rsidR="00E85C8E" w:rsidRPr="00E85C8E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E85C8E">
              <w:t>Homework Assignments</w:t>
            </w:r>
          </w:p>
          <w:p w:rsidR="00712F82" w:rsidRPr="00E21A0F" w:rsidRDefault="00712F82" w:rsidP="00C91A85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:rsidR="00E21A0F" w:rsidRPr="00E85C8E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E85C8E">
              <w:t>Exam questions</w:t>
            </w:r>
          </w:p>
          <w:p w:rsidR="00E85C8E" w:rsidRPr="00E85C8E" w:rsidRDefault="00E85C8E" w:rsidP="00E85C8E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Theme="minorHAnsi" w:hAnsiTheme="minorHAnsi"/>
              </w:rPr>
            </w:pPr>
            <w:r w:rsidRPr="00E85C8E">
              <w:rPr>
                <w:rFonts w:asciiTheme="minorHAnsi" w:hAnsiTheme="minorHAnsi"/>
              </w:rPr>
              <w:t>Case Briefs</w:t>
            </w:r>
          </w:p>
        </w:tc>
      </w:tr>
      <w:tr w:rsidR="00E21A0F" w:rsidRPr="00E21A0F" w:rsidTr="002D0988">
        <w:tc>
          <w:tcPr>
            <w:tcW w:w="4140" w:type="dxa"/>
          </w:tcPr>
          <w:p w:rsidR="00E21A0F" w:rsidRPr="00E21A0F" w:rsidRDefault="00E21A0F" w:rsidP="0078319E">
            <w:pPr>
              <w:pStyle w:val="NoSpacing"/>
            </w:pPr>
            <w:r w:rsidRPr="00E21A0F">
              <w:t xml:space="preserve">Students will </w:t>
            </w:r>
            <w:r w:rsidR="00E85C8E">
              <w:t>be able to analyze and apply</w:t>
            </w:r>
            <w:r w:rsidR="0078319E">
              <w:t xml:space="preserve"> appellate court opinions</w:t>
            </w:r>
          </w:p>
        </w:tc>
        <w:tc>
          <w:tcPr>
            <w:tcW w:w="3240" w:type="dxa"/>
          </w:tcPr>
          <w:p w:rsidR="00E21A0F" w:rsidRPr="0078319E" w:rsidRDefault="0078319E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78319E">
              <w:rPr>
                <w:rFonts w:asciiTheme="minorHAnsi" w:hAnsiTheme="minorHAnsi"/>
                <w:sz w:val="22"/>
                <w:szCs w:val="22"/>
              </w:rPr>
              <w:t>Case Briefs</w:t>
            </w:r>
          </w:p>
        </w:tc>
        <w:tc>
          <w:tcPr>
            <w:tcW w:w="2880" w:type="dxa"/>
          </w:tcPr>
          <w:p w:rsidR="00E21A0F" w:rsidRDefault="0078319E" w:rsidP="0078319E">
            <w:pPr>
              <w:pStyle w:val="NoSpacing"/>
              <w:numPr>
                <w:ilvl w:val="0"/>
                <w:numId w:val="28"/>
              </w:numPr>
            </w:pPr>
            <w:r w:rsidRPr="0078319E">
              <w:t>Case Briefs</w:t>
            </w:r>
          </w:p>
          <w:p w:rsidR="0078319E" w:rsidRPr="0078319E" w:rsidRDefault="0078319E" w:rsidP="0078319E">
            <w:pPr>
              <w:pStyle w:val="NoSpacing"/>
              <w:numPr>
                <w:ilvl w:val="0"/>
                <w:numId w:val="28"/>
              </w:numPr>
            </w:pPr>
            <w:r>
              <w:t>Exam questions</w:t>
            </w:r>
          </w:p>
        </w:tc>
      </w:tr>
      <w:tr w:rsidR="00E21A0F" w:rsidRPr="00E21A0F" w:rsidTr="002D0988">
        <w:trPr>
          <w:trHeight w:val="224"/>
        </w:trPr>
        <w:tc>
          <w:tcPr>
            <w:tcW w:w="4140" w:type="dxa"/>
          </w:tcPr>
          <w:p w:rsidR="00E21A0F" w:rsidRPr="009B2939" w:rsidRDefault="009B2939" w:rsidP="009B2939">
            <w:pPr>
              <w:pStyle w:val="NoSpacing"/>
            </w:pPr>
            <w:r w:rsidRPr="009B2939">
              <w:t>Students will be able to describe</w:t>
            </w:r>
            <w:r>
              <w:t xml:space="preserve"> the types of</w:t>
            </w:r>
            <w:r w:rsidRPr="009B2939">
              <w:t xml:space="preserve"> arguments made by both sides in a criminal case</w:t>
            </w:r>
          </w:p>
        </w:tc>
        <w:tc>
          <w:tcPr>
            <w:tcW w:w="3240" w:type="dxa"/>
          </w:tcPr>
          <w:p w:rsidR="00E21A0F" w:rsidRPr="009B2939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9B2939">
              <w:t>Readings in the textbook</w:t>
            </w:r>
          </w:p>
          <w:p w:rsidR="0078319E" w:rsidRPr="009B2939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9B2939">
              <w:t>Class discussion</w:t>
            </w:r>
          </w:p>
          <w:p w:rsidR="0078319E" w:rsidRPr="009B2939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9B2939">
              <w:t>Case Briefs</w:t>
            </w:r>
          </w:p>
          <w:p w:rsidR="0078319E" w:rsidRPr="009B2939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9B2939">
              <w:t>Homework assignments</w:t>
            </w:r>
          </w:p>
        </w:tc>
        <w:tc>
          <w:tcPr>
            <w:tcW w:w="2880" w:type="dxa"/>
          </w:tcPr>
          <w:p w:rsidR="00E21A0F" w:rsidRDefault="009B2939" w:rsidP="009B2939">
            <w:pPr>
              <w:pStyle w:val="NoSpacing"/>
              <w:numPr>
                <w:ilvl w:val="0"/>
                <w:numId w:val="31"/>
              </w:numPr>
            </w:pPr>
            <w:r>
              <w:t>Case Briefs</w:t>
            </w:r>
          </w:p>
          <w:p w:rsidR="009B2939" w:rsidRPr="009B2939" w:rsidRDefault="009B2939" w:rsidP="009B2939">
            <w:pPr>
              <w:pStyle w:val="NoSpacing"/>
              <w:numPr>
                <w:ilvl w:val="0"/>
                <w:numId w:val="31"/>
              </w:numPr>
            </w:pPr>
            <w:r>
              <w:t>Exam questions</w:t>
            </w:r>
          </w:p>
        </w:tc>
      </w:tr>
    </w:tbl>
    <w:p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F7497C" w:rsidRPr="00491DAA" w:rsidRDefault="00880251" w:rsidP="00880251">
            <w:pPr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Samaha, J.  (2017</w:t>
            </w:r>
            <w:r w:rsidR="00491DAA" w:rsidRPr="00491DAA">
              <w:rPr>
                <w:rFonts w:asciiTheme="minorHAnsi" w:hAnsiTheme="minorHAnsi" w:cstheme="minorHAnsi"/>
                <w:sz w:val="22"/>
                <w:szCs w:val="22"/>
              </w:rPr>
              <w:t xml:space="preserve">).  </w:t>
            </w:r>
            <w:r w:rsidR="00491DAA" w:rsidRPr="00491DAA">
              <w:rPr>
                <w:rFonts w:asciiTheme="minorHAnsi" w:hAnsiTheme="minorHAnsi" w:cstheme="minorHAnsi"/>
                <w:i/>
                <w:sz w:val="22"/>
                <w:szCs w:val="22"/>
              </w:rPr>
              <w:t>Criminal Law</w:t>
            </w:r>
            <w:r w:rsidR="00491DAA" w:rsidRPr="00491DAA">
              <w:rPr>
                <w:rFonts w:asciiTheme="minorHAnsi" w:hAnsiTheme="minorHAnsi" w:cstheme="minorHAnsi"/>
                <w:sz w:val="22"/>
                <w:szCs w:val="22"/>
              </w:rPr>
              <w:t>,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91DAA" w:rsidRPr="00491DA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91DAA" w:rsidRPr="00491DAA">
              <w:rPr>
                <w:rFonts w:asciiTheme="minorHAnsi" w:hAnsiTheme="minorHAnsi" w:cstheme="minorHAnsi"/>
                <w:sz w:val="22"/>
                <w:szCs w:val="22"/>
              </w:rPr>
              <w:t xml:space="preserve"> ed.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Boston:</w:t>
            </w:r>
            <w:r w:rsidR="00491DAA" w:rsidRPr="00491DAA">
              <w:rPr>
                <w:rFonts w:asciiTheme="minorHAnsi" w:hAnsiTheme="minorHAnsi" w:cstheme="minorHAnsi"/>
                <w:sz w:val="22"/>
                <w:szCs w:val="22"/>
              </w:rPr>
              <w:t xml:space="preserve"> Cengage Learning.</w:t>
            </w: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3D3E6A">
          <w:footerReference w:type="default" r:id="rId10"/>
          <w:endnotePr>
            <w:numFmt w:val="decimal"/>
          </w:endnotePr>
          <w:pgSz w:w="12240" w:h="15840"/>
          <w:pgMar w:top="720" w:right="1440" w:bottom="720" w:left="1440" w:header="1440" w:footer="1440" w:gutter="0"/>
          <w:cols w:space="720"/>
          <w:noEndnote/>
          <w:docGrid w:linePitch="326"/>
        </w:sect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83" w:type="dxa"/>
        <w:tblInd w:w="-185" w:type="dxa"/>
        <w:tblLook w:val="04A0" w:firstRow="1" w:lastRow="0" w:firstColumn="1" w:lastColumn="0" w:noHBand="0" w:noVBand="1"/>
      </w:tblPr>
      <w:tblGrid>
        <w:gridCol w:w="10283"/>
      </w:tblGrid>
      <w:tr w:rsidR="004E3BA0" w:rsidRPr="00E21A0F" w:rsidTr="007003C6">
        <w:tc>
          <w:tcPr>
            <w:tcW w:w="10283" w:type="dxa"/>
          </w:tcPr>
          <w:p w:rsidR="00356644" w:rsidRDefault="00491DAA" w:rsidP="00356644">
            <w:pPr>
              <w:pStyle w:val="NoSpacing"/>
              <w:numPr>
                <w:ilvl w:val="0"/>
                <w:numId w:val="24"/>
              </w:numPr>
            </w:pPr>
            <w:r>
              <w:t xml:space="preserve">Case Briefs are due at the end of the class period on the day the case is discussed.  </w:t>
            </w:r>
            <w:r w:rsidR="009B2939">
              <w:t xml:space="preserve">In class work may be assigned.  </w:t>
            </w:r>
            <w:r>
              <w:t xml:space="preserve">Late case briefs </w:t>
            </w:r>
            <w:r w:rsidR="009B2939">
              <w:t xml:space="preserve">or in class assignments may not be made up and </w:t>
            </w:r>
            <w:r>
              <w:t>will not be accepted, without university excuse.</w:t>
            </w:r>
            <w:r w:rsidR="00645F40">
              <w:t xml:space="preserve">  Case briefs are collectively worth 100 points toward each student’s final grade.  The grade for case briefs is calculated as follows:  # of case briefs submitted ÷ # of case briefs possible.</w:t>
            </w:r>
          </w:p>
          <w:p w:rsidR="00356644" w:rsidRDefault="00356644" w:rsidP="00356644">
            <w:pPr>
              <w:pStyle w:val="NoSpacing"/>
              <w:numPr>
                <w:ilvl w:val="0"/>
                <w:numId w:val="24"/>
              </w:numPr>
            </w:pPr>
            <w:r>
              <w:t>Exam 1 will take place on</w:t>
            </w:r>
            <w:r w:rsidR="00215D3D">
              <w:t xml:space="preserve"> February 14, 2017</w:t>
            </w:r>
            <w:r w:rsidR="005B6ACE">
              <w:t>.</w:t>
            </w:r>
          </w:p>
          <w:p w:rsidR="00356644" w:rsidRDefault="00356644" w:rsidP="00356644">
            <w:pPr>
              <w:pStyle w:val="NoSpacing"/>
              <w:numPr>
                <w:ilvl w:val="0"/>
                <w:numId w:val="24"/>
              </w:numPr>
            </w:pPr>
            <w:r>
              <w:t>Exam 2 will take place on</w:t>
            </w:r>
            <w:r w:rsidR="00215D3D">
              <w:t xml:space="preserve"> March 14, 2017</w:t>
            </w:r>
            <w:r w:rsidR="005B6ACE">
              <w:t>.</w:t>
            </w:r>
          </w:p>
          <w:p w:rsidR="00215D3D" w:rsidRDefault="00356644" w:rsidP="00215D3D">
            <w:pPr>
              <w:pStyle w:val="NoSpacing"/>
              <w:numPr>
                <w:ilvl w:val="0"/>
                <w:numId w:val="24"/>
              </w:numPr>
            </w:pPr>
            <w:r>
              <w:t>Final exam for Section 101 will take place on</w:t>
            </w:r>
            <w:r w:rsidR="005B6ACE">
              <w:t xml:space="preserve"> </w:t>
            </w:r>
            <w:r w:rsidR="00215D3D">
              <w:t xml:space="preserve">May 2, 2017 </w:t>
            </w:r>
            <w:r w:rsidR="005B6ACE">
              <w:t>@ 8:00 am.</w:t>
            </w:r>
          </w:p>
          <w:p w:rsidR="00215D3D" w:rsidRDefault="00215D3D" w:rsidP="00215D3D">
            <w:pPr>
              <w:pStyle w:val="NoSpacing"/>
              <w:numPr>
                <w:ilvl w:val="0"/>
                <w:numId w:val="24"/>
              </w:numPr>
            </w:pPr>
            <w:r>
              <w:t xml:space="preserve">Each student must complete 10 out of 14 possible YOU Decide Assignments.  Each </w:t>
            </w:r>
            <w:r w:rsidR="00481722">
              <w:t xml:space="preserve">YOU Decide </w:t>
            </w:r>
            <w:r>
              <w:t>assignment is worth 10 points</w:t>
            </w:r>
            <w:r w:rsidR="00481722">
              <w:t xml:space="preserve">.  </w:t>
            </w:r>
            <w:r>
              <w:t>YOU Decide Assignments are due on the date they are covered in class.</w:t>
            </w:r>
          </w:p>
          <w:p w:rsidR="00645F40" w:rsidRPr="00E21A0F" w:rsidRDefault="00645F40" w:rsidP="00645F40">
            <w:pPr>
              <w:pStyle w:val="NoSpacing"/>
              <w:numPr>
                <w:ilvl w:val="0"/>
                <w:numId w:val="24"/>
              </w:numPr>
            </w:pPr>
            <w:r>
              <w:t>Students will complete Assessment Exercises prior to each exam.  Assessment Exercises are worth 10 points each.</w:t>
            </w:r>
          </w:p>
        </w:tc>
      </w:tr>
    </w:tbl>
    <w:p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C70C8" w:rsidRDefault="00EC70C8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DA4E24" w:rsidRPr="00E21A0F" w:rsidTr="007003C6">
        <w:tc>
          <w:tcPr>
            <w:tcW w:w="10170" w:type="dxa"/>
          </w:tcPr>
          <w:p w:rsidR="009B2939" w:rsidRPr="009B2939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Exam 1 - 100 points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90-100% = A</w:t>
            </w:r>
          </w:p>
          <w:p w:rsidR="009B2939" w:rsidRPr="009B2939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Exam 2 – 100 points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80-89% = B</w:t>
            </w:r>
          </w:p>
          <w:p w:rsidR="009B2939" w:rsidRPr="009B2939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Final Exam (comprehensive) – 200 points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70-79% = C</w:t>
            </w:r>
          </w:p>
          <w:p w:rsidR="009B2939" w:rsidRPr="009B2939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Case Briefs – 100 points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60-69% = D</w:t>
            </w:r>
          </w:p>
          <w:p w:rsidR="009B2939" w:rsidRPr="009B2939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Homework, in-class assignments, participation – up to 1</w:t>
            </w:r>
            <w:r w:rsidR="00215D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0 points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Below 60% = F</w:t>
            </w:r>
          </w:p>
          <w:p w:rsidR="009B2939" w:rsidRPr="009B2939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7497C" w:rsidRDefault="009B2939" w:rsidP="009B293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Once assignments/exams are returned to students, it is the responsibility of the students to maintain those documents in case there is a discrepancy between my grade book and your actual grade.  Please maintain your graded papers until you receive your final grade.</w:t>
            </w:r>
          </w:p>
          <w:p w:rsidR="009B2939" w:rsidRDefault="009B2939" w:rsidP="009B293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2939" w:rsidRPr="009B2939" w:rsidRDefault="009B2939" w:rsidP="009B293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29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Academic Dishonesty</w:t>
            </w:r>
          </w:p>
          <w:p w:rsidR="009B2939" w:rsidRPr="00E21A0F" w:rsidRDefault="009B2939" w:rsidP="009B2939">
            <w:r w:rsidRPr="009B29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students must be familiar with the university’s policy concerning academic dishonesty.  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>Academic dishonesty includes cheating, fabrication and falsification of data or information, plagiarism, bribes/favors/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2939">
              <w:rPr>
                <w:rFonts w:asciiTheme="minorHAnsi" w:hAnsiTheme="minorHAnsi" w:cstheme="minorHAnsi"/>
                <w:sz w:val="22"/>
                <w:szCs w:val="22"/>
              </w:rPr>
              <w:t xml:space="preserve">threats, and complicity with any of these activities. Students who violate this policy face sanctions included in the Academic Dishonesty Policy, including lowering of a grade on an assignment, lowering of a final grade, or failing the course.  </w:t>
            </w:r>
          </w:p>
        </w:tc>
      </w:tr>
    </w:tbl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4B3351" w:rsidRPr="00041845" w:rsidRDefault="004B3351" w:rsidP="004B3351">
      <w:pPr>
        <w:widowControl/>
        <w:rPr>
          <w:rFonts w:asciiTheme="minorHAnsi" w:hAnsiTheme="minorHAnsi"/>
          <w:b/>
          <w:sz w:val="22"/>
          <w:szCs w:val="22"/>
        </w:rPr>
      </w:pPr>
      <w:r w:rsidRPr="00041845">
        <w:rPr>
          <w:rFonts w:asciiTheme="minorHAnsi" w:hAnsiTheme="minorHAnsi"/>
          <w:b/>
          <w:sz w:val="22"/>
          <w:szCs w:val="22"/>
        </w:rPr>
        <w:t>Classroom Rules</w:t>
      </w:r>
    </w:p>
    <w:p w:rsidR="004B3351" w:rsidRPr="00041845" w:rsidRDefault="004B3351" w:rsidP="004B3351">
      <w:pPr>
        <w:widowControl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9538"/>
      </w:tblGrid>
      <w:tr w:rsidR="004B3351" w:rsidRPr="00041845" w:rsidTr="004A42B8">
        <w:trPr>
          <w:trHeight w:val="2163"/>
          <w:jc w:val="center"/>
        </w:trPr>
        <w:tc>
          <w:tcPr>
            <w:tcW w:w="9538" w:type="dxa"/>
          </w:tcPr>
          <w:p w:rsidR="004B3351" w:rsidRPr="00041845" w:rsidRDefault="004B3351" w:rsidP="004B3351">
            <w:pPr>
              <w:widowControl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041845">
              <w:rPr>
                <w:rFonts w:asciiTheme="minorHAnsi" w:hAnsiTheme="minorHAnsi"/>
                <w:sz w:val="22"/>
                <w:szCs w:val="22"/>
              </w:rPr>
              <w:t>Be on time.</w:t>
            </w:r>
          </w:p>
          <w:p w:rsidR="004B3351" w:rsidRPr="00041845" w:rsidRDefault="004B3351" w:rsidP="004B3351">
            <w:pPr>
              <w:widowControl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041845">
              <w:rPr>
                <w:rFonts w:asciiTheme="minorHAnsi" w:hAnsiTheme="minorHAnsi"/>
                <w:sz w:val="22"/>
                <w:szCs w:val="22"/>
              </w:rPr>
              <w:t>Be prepared.</w:t>
            </w:r>
          </w:p>
          <w:p w:rsidR="004B3351" w:rsidRDefault="004B3351" w:rsidP="004B3351">
            <w:pPr>
              <w:widowControl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041845">
              <w:rPr>
                <w:rFonts w:asciiTheme="minorHAnsi" w:hAnsiTheme="minorHAnsi"/>
                <w:sz w:val="22"/>
                <w:szCs w:val="22"/>
              </w:rPr>
              <w:t>Respect each other.</w:t>
            </w:r>
          </w:p>
          <w:p w:rsidR="004B3351" w:rsidRPr="00041845" w:rsidRDefault="004B3351" w:rsidP="004B3351">
            <w:pPr>
              <w:widowControl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Never, ever cheat.</w:t>
            </w:r>
          </w:p>
          <w:p w:rsidR="004B3351" w:rsidRPr="00041845" w:rsidRDefault="004B3351" w:rsidP="004B3351">
            <w:pPr>
              <w:widowControl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041845">
              <w:rPr>
                <w:rFonts w:asciiTheme="minorHAnsi" w:hAnsiTheme="minorHAnsi"/>
                <w:sz w:val="22"/>
                <w:szCs w:val="22"/>
              </w:rPr>
              <w:t>Put your cell phones away.  This includes earphones.</w:t>
            </w:r>
          </w:p>
          <w:p w:rsidR="004B3351" w:rsidRPr="00041845" w:rsidRDefault="004B3351" w:rsidP="004B3351">
            <w:pPr>
              <w:widowControl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041845">
              <w:rPr>
                <w:rFonts w:asciiTheme="minorHAnsi" w:hAnsiTheme="minorHAnsi"/>
                <w:sz w:val="22"/>
                <w:szCs w:val="22"/>
              </w:rPr>
              <w:t xml:space="preserve">Do not sleep in my class.  </w:t>
            </w:r>
          </w:p>
          <w:p w:rsidR="004B3351" w:rsidRPr="00041845" w:rsidRDefault="004B3351" w:rsidP="006005C9">
            <w:pPr>
              <w:widowControl/>
              <w:rPr>
                <w:rFonts w:asciiTheme="minorHAnsi" w:hAnsiTheme="minorHAnsi"/>
                <w:b/>
                <w:sz w:val="22"/>
                <w:szCs w:val="22"/>
              </w:rPr>
            </w:pPr>
            <w:r w:rsidRPr="00041845">
              <w:rPr>
                <w:rFonts w:asciiTheme="minorHAnsi" w:hAnsiTheme="minorHAnsi"/>
                <w:sz w:val="22"/>
                <w:szCs w:val="22"/>
              </w:rPr>
              <w:t>Violation of any of these rules will result in you being asked to leave the classroom for the remainder of the class period</w:t>
            </w:r>
            <w:r w:rsidRPr="000418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1E2EA5" w:rsidRDefault="001E2EA5">
      <w:pPr>
        <w:widowControl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9900"/>
      </w:tblGrid>
      <w:tr w:rsidR="002C2389" w:rsidRPr="00E21A0F" w:rsidTr="004A42B8">
        <w:tc>
          <w:tcPr>
            <w:tcW w:w="9900" w:type="dxa"/>
          </w:tcPr>
          <w:p w:rsidR="004C1F79" w:rsidRPr="00E21A0F" w:rsidRDefault="00356644" w:rsidP="00356644">
            <w:pPr>
              <w:pStyle w:val="NoSpacing"/>
            </w:pPr>
            <w:r>
              <w:rPr>
                <w:rFonts w:cs="Times New Roman"/>
              </w:rPr>
              <w:t>Class attendance is not required.  However, those students who want and/or expect to do well in the class should attend class regularly.  If a student misses a class other than for a university excused absence, that student cannot make up any assignments completed in class or due on that day.</w:t>
            </w: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C13F1" w:rsidRPr="00E21A0F" w:rsidRDefault="00E7717A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EC70C8" w:rsidRDefault="00EC70C8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E7717A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</w:p>
    <w:p w:rsidR="004B3351" w:rsidRPr="00E21A0F" w:rsidRDefault="004B3351" w:rsidP="00827498">
      <w:pPr>
        <w:rPr>
          <w:rFonts w:asciiTheme="minorHAnsi" w:hAnsiTheme="minorHAnsi"/>
          <w:b/>
          <w:sz w:val="22"/>
          <w:szCs w:val="22"/>
        </w:rPr>
      </w:pPr>
    </w:p>
    <w:tbl>
      <w:tblPr>
        <w:tblW w:w="10431" w:type="dxa"/>
        <w:jc w:val="center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1251"/>
        <w:gridCol w:w="7560"/>
        <w:gridCol w:w="1620"/>
      </w:tblGrid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b/>
                <w:sz w:val="22"/>
                <w:szCs w:val="22"/>
              </w:rPr>
              <w:t>Pages</w:t>
            </w: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880251" w:rsidP="001E2EA5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Jan. 9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>Chapter 1 – Criminal Law &amp; Criminal Punishment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>ASSIGNMENT:  Read instructions on page</w:t>
            </w:r>
            <w:r w:rsidR="00B46E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="00B46E6C">
              <w:rPr>
                <w:rFonts w:asciiTheme="minorHAnsi" w:hAnsiTheme="minorHAnsi" w:cstheme="minorHAnsi"/>
                <w:sz w:val="22"/>
                <w:szCs w:val="22"/>
              </w:rPr>
              <w:t>, then review the 8 cases on pages 4-5</w:t>
            </w: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 xml:space="preserve"> and assign each </w:t>
            </w:r>
            <w:r w:rsidR="00B46E6C">
              <w:rPr>
                <w:rFonts w:asciiTheme="minorHAnsi" w:hAnsiTheme="minorHAnsi" w:cstheme="minorHAnsi"/>
                <w:sz w:val="22"/>
                <w:szCs w:val="22"/>
              </w:rPr>
              <w:t xml:space="preserve">case </w:t>
            </w: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>to one of the five categories listed in the instructions.</w:t>
            </w:r>
          </w:p>
          <w:p w:rsidR="00F64D32" w:rsidRPr="00356644" w:rsidRDefault="00F64D32" w:rsidP="006005C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BRIEF:  </w:t>
            </w:r>
            <w:r w:rsidR="00700BC8">
              <w:rPr>
                <w:rFonts w:asciiTheme="minorHAnsi" w:hAnsiTheme="minorHAnsi" w:cstheme="minorHAnsi"/>
                <w:i/>
                <w:sz w:val="22"/>
                <w:szCs w:val="22"/>
              </w:rPr>
              <w:t>Bond v. United States</w:t>
            </w:r>
          </w:p>
          <w:p w:rsidR="003D3E6A" w:rsidRPr="009B2939" w:rsidRDefault="00BE3D82" w:rsidP="00BE3D82">
            <w:pPr>
              <w:widowControl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Jan. 9 – 13:</w:t>
            </w:r>
            <w:r w:rsidR="009B293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Late Registration and Schedule Adjustment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6E6C">
              <w:rPr>
                <w:rFonts w:asciiTheme="minorHAnsi" w:hAnsiTheme="minorHAnsi" w:cstheme="minorHAnsi"/>
                <w:sz w:val="22"/>
                <w:szCs w:val="22"/>
              </w:rPr>
              <w:t>-3</w:t>
            </w:r>
            <w:r w:rsidR="00700B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880251" w:rsidP="00B46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Jan. 16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>Chapter 2 – Constitutional Limits on Criminal Law</w:t>
            </w:r>
          </w:p>
          <w:p w:rsidR="00356644" w:rsidRDefault="00356644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sz w:val="22"/>
                <w:szCs w:val="22"/>
              </w:rPr>
              <w:t xml:space="preserve">BRIEF:  </w:t>
            </w:r>
            <w:r w:rsidRPr="00356644">
              <w:rPr>
                <w:rFonts w:asciiTheme="minorHAnsi" w:hAnsiTheme="minorHAnsi" w:cstheme="minorHAnsi"/>
                <w:i/>
                <w:sz w:val="22"/>
                <w:szCs w:val="22"/>
              </w:rPr>
              <w:t>State v. Metzger</w:t>
            </w:r>
          </w:p>
          <w:p w:rsidR="00700BC8" w:rsidRDefault="00700BC8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Commonwealth v. Johnson</w:t>
            </w:r>
          </w:p>
          <w:p w:rsidR="00700BC8" w:rsidRPr="00356644" w:rsidRDefault="00700BC8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Wollard v. Gallagher</w:t>
            </w:r>
          </w:p>
          <w:p w:rsidR="00F64D32" w:rsidRDefault="00356644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="00F64D32">
              <w:rPr>
                <w:rFonts w:asciiTheme="minorHAnsi" w:hAnsiTheme="minorHAnsi" w:cstheme="minorHAnsi"/>
                <w:i/>
                <w:sz w:val="22"/>
                <w:szCs w:val="22"/>
              </w:rPr>
              <w:t>Lawrence v. Texas</w:t>
            </w:r>
          </w:p>
          <w:p w:rsidR="00C21230" w:rsidRPr="00C21230" w:rsidRDefault="00C21230" w:rsidP="00600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ASSIGNMENT:  YOU Decide (pp. 66-67).  Is shaming right?</w:t>
            </w:r>
          </w:p>
          <w:p w:rsidR="00356644" w:rsidRDefault="00356644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21230">
              <w:rPr>
                <w:rFonts w:asciiTheme="minorHAnsi" w:hAnsiTheme="minorHAnsi" w:cstheme="minorHAnsi"/>
                <w:sz w:val="22"/>
                <w:szCs w:val="22"/>
              </w:rPr>
              <w:t>BRIEF:</w:t>
            </w:r>
            <w:r w:rsidRPr="003566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Kennedy v. Louisiana</w:t>
            </w:r>
          </w:p>
          <w:p w:rsidR="00F64D32" w:rsidRPr="00356644" w:rsidRDefault="00F64D32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State v. Ninham</w:t>
            </w:r>
          </w:p>
          <w:p w:rsidR="00356644" w:rsidRPr="00356644" w:rsidRDefault="00356644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Ewing v. California</w:t>
            </w:r>
          </w:p>
          <w:p w:rsidR="00356644" w:rsidRDefault="00356644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Gall v. United States</w:t>
            </w:r>
          </w:p>
          <w:p w:rsidR="00BE3D82" w:rsidRDefault="00BE3D82" w:rsidP="006005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Jan. 16:  Martin Luther King, Jr. Day – University Closed</w:t>
            </w:r>
          </w:p>
          <w:p w:rsidR="00356644" w:rsidRPr="003D3E6A" w:rsidRDefault="00BE3D82" w:rsidP="001E2E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Jan. 17 – Mar. 17</w:t>
            </w:r>
            <w:r w:rsidR="00356644" w:rsidRPr="003566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 “W” Withdrawal Period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700BC8" w:rsidP="00600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B46E6C">
              <w:rPr>
                <w:rFonts w:asciiTheme="minorHAnsi" w:hAnsiTheme="minorHAnsi" w:cstheme="minorHAnsi"/>
                <w:sz w:val="22"/>
                <w:szCs w:val="22"/>
              </w:rPr>
              <w:t>-9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880251" w:rsidP="007003C6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Jan. 23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256D63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Chapter 3 – The Criminal Act:  The First Principle of Criminal Liability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BRIEF:  </w:t>
            </w:r>
            <w:r w:rsidR="00256D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State v. Burrell</w:t>
            </w:r>
          </w:p>
          <w:p w:rsidR="00C21230" w:rsidRDefault="00C21230" w:rsidP="006005C9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State v. Newman</w:t>
            </w:r>
          </w:p>
          <w:p w:rsidR="00C21230" w:rsidRDefault="00C21230" w:rsidP="006005C9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People v. Levy</w:t>
            </w:r>
          </w:p>
          <w:p w:rsidR="00C21230" w:rsidRDefault="00BE3D82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ASSIGNMENT</w:t>
            </w:r>
            <w:r w:rsidR="00C212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 YOU Decide (pp. 108-110).  Did he kill during “insulin shock?”</w:t>
            </w:r>
          </w:p>
          <w:p w:rsidR="00356644" w:rsidRDefault="00BE3D82" w:rsidP="006005C9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BRIEF: </w:t>
            </w:r>
            <w:r w:rsidR="00356644"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Commonwealth v. Pestinakas</w:t>
            </w:r>
          </w:p>
          <w:p w:rsidR="00356644" w:rsidRDefault="00C21230" w:rsidP="00256D63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Williams v. State</w:t>
            </w:r>
          </w:p>
          <w:p w:rsidR="001E2EA5" w:rsidRPr="00BE3D82" w:rsidRDefault="00BE3D82" w:rsidP="00256D63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ASSIGNMENT:  YOU Decide (pp. 121-122).  Did she possess alcohol?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B46E6C" w:rsidP="00700BC8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0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-12</w:t>
            </w:r>
            <w:r w:rsidR="0070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880251" w:rsidP="007003C6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Jan. 30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Chapter 4 – The General Principles of Criminal Liability:                          </w:t>
            </w: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Mens Rea</w:t>
            </w: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 Concurrence, and Causation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BRIEF:  </w:t>
            </w:r>
            <w:r w:rsidR="00BE3D8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State v. Fleck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State v. Stark</w:t>
            </w:r>
          </w:p>
          <w:p w:rsidR="00BE3D82" w:rsidRPr="00BE3D82" w:rsidRDefault="00BE3D82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ASSIGNMENT:  YOU Decide (p. 137).  Which court’s decision. . . ?</w:t>
            </w:r>
          </w:p>
          <w:p w:rsidR="00356644" w:rsidRPr="00356644" w:rsidRDefault="00D245F2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BRIEF: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State v. Jantzi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Koppersmith v. State</w:t>
            </w:r>
          </w:p>
          <w:p w:rsidR="001978E7" w:rsidRDefault="001978E7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State v. Loge</w:t>
            </w:r>
          </w:p>
          <w:p w:rsidR="00D245F2" w:rsidRDefault="00D245F2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State v. Bauer</w:t>
            </w:r>
          </w:p>
          <w:p w:rsidR="00D245F2" w:rsidRPr="00356644" w:rsidRDefault="00D245F2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State v. Jacobson</w:t>
            </w:r>
          </w:p>
          <w:p w:rsidR="00D245F2" w:rsidRPr="00D245F2" w:rsidRDefault="00D245F2" w:rsidP="001E2EA5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ASSIGNMENT:  YOU Decide (pp. 158-159).  Who’s entitled to the . . . defense?</w:t>
            </w:r>
          </w:p>
          <w:p w:rsidR="00356644" w:rsidRPr="00356644" w:rsidRDefault="00BE3D82" w:rsidP="001E2EA5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Feb. 3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: Application for December Graduation Due in Academic Dean’s Office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B46E6C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122-151</w:t>
            </w: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880251" w:rsidP="00B46E6C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Feb. 6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REVIEW FOR EXAM # 1</w:t>
            </w:r>
          </w:p>
          <w:p w:rsidR="00356644" w:rsidRPr="00356644" w:rsidRDefault="00D245F2" w:rsidP="001E2EA5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Feb. 10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: Last Day to Drop 1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</w:rPr>
              <w:t>st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8 Weeks Courses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880251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Feb. 13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EXAM # 1</w:t>
            </w:r>
            <w:r w:rsidR="005B6A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70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2/14</w:t>
            </w:r>
            <w:r w:rsidR="005B6A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Chapter 7 – Parties to Crime and Vicarious Liability</w:t>
            </w:r>
          </w:p>
          <w:p w:rsidR="00356644" w:rsidRDefault="00356644" w:rsidP="00256D63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BRIEF:  </w:t>
            </w:r>
            <w:r w:rsidR="00256D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State v. Ulvinen</w:t>
            </w:r>
          </w:p>
          <w:p w:rsidR="00256D63" w:rsidRPr="00256D63" w:rsidRDefault="00256D63" w:rsidP="00256D63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State v. Chism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</w:t>
            </w:r>
            <w:r w:rsidR="00256D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State</w:t>
            </w: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v. </w:t>
            </w:r>
            <w:r w:rsidR="00256D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Zeta Chi Fraternity</w:t>
            </w:r>
          </w:p>
          <w:p w:rsidR="004A240B" w:rsidRPr="00356644" w:rsidRDefault="004A240B" w:rsidP="006005C9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City of Waukesha v. Boehnen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State v. Akers</w:t>
            </w:r>
          </w:p>
          <w:p w:rsidR="004A240B" w:rsidRPr="004A240B" w:rsidRDefault="004A240B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ASSIGNMENT:  YOU Decide (pp. 267-268).  Is it wise public policy to make . . . ?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4A240B" w:rsidP="004A240B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</w:t>
            </w:r>
            <w:r w:rsidR="00B46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880251" w:rsidP="00B46E6C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Feb. 20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Chapter 8 – Inchoate Crime</w:t>
            </w:r>
            <w:r w:rsidR="007A55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s:  Attempt, Conspiracy, and </w:t>
            </w: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Solicitation</w:t>
            </w:r>
          </w:p>
          <w:p w:rsidR="004A240B" w:rsidRDefault="00356644" w:rsidP="006005C9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BRIEF:  </w:t>
            </w:r>
            <w:r w:rsidR="004A240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Dabney v. State</w:t>
            </w:r>
          </w:p>
          <w:p w:rsidR="004A240B" w:rsidRPr="004A240B" w:rsidRDefault="004A240B" w:rsidP="006005C9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State v. King</w:t>
            </w:r>
          </w:p>
          <w:p w:rsidR="00356644" w:rsidRPr="00356644" w:rsidRDefault="00356644" w:rsidP="006005C9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</w:t>
            </w:r>
            <w:r w:rsidR="00256D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George Lee Mims, Sr., v. U.S.</w:t>
            </w:r>
          </w:p>
          <w:p w:rsidR="00356644" w:rsidRPr="00356644" w:rsidRDefault="00356644" w:rsidP="006005C9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State v. Damms</w:t>
            </w:r>
          </w:p>
          <w:p w:rsidR="00356644" w:rsidRDefault="00356644" w:rsidP="006005C9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LeBarron v. State</w:t>
            </w:r>
          </w:p>
          <w:p w:rsidR="004A240B" w:rsidRPr="00356644" w:rsidRDefault="004A240B" w:rsidP="006005C9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Griffin v. Gipson</w:t>
            </w:r>
          </w:p>
          <w:p w:rsidR="00356644" w:rsidRDefault="00356644" w:rsidP="00256D63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</w:t>
            </w:r>
            <w:r w:rsidR="00256D6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Alexander v. U.S.</w:t>
            </w:r>
          </w:p>
          <w:p w:rsidR="00256D63" w:rsidRPr="00356644" w:rsidRDefault="00256D63" w:rsidP="00256D63">
            <w:pPr>
              <w:widowControl/>
              <w:tabs>
                <w:tab w:val="left" w:pos="-1440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State v. Schleifer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B46E6C" w:rsidP="004A240B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4A2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4A2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319</w:t>
            </w: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700BC8" w:rsidP="00356644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Feb. 27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Chapter 9 – Crimes against Persons I:  Criminal Homicide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BRIEF:  </w:t>
            </w:r>
            <w:r w:rsidR="00256D6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State v. Snowden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</w:t>
            </w:r>
            <w:r w:rsidR="00256D6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Due</w:t>
            </w: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 v. State</w:t>
            </w:r>
          </w:p>
          <w:p w:rsidR="004A240B" w:rsidRPr="004A240B" w:rsidRDefault="004A240B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ASSIGNMENT:  YOU Decide (p. 343).  Was beating him to death with . . . ?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People v. Thomas</w:t>
            </w:r>
          </w:p>
          <w:p w:rsidR="00356644" w:rsidRDefault="00256D63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People v. O'Neil</w:t>
            </w:r>
          </w:p>
          <w:p w:rsidR="004A240B" w:rsidRPr="004A240B" w:rsidRDefault="004A240B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ASSIGINMENT:  YOU Decide (pp. 354-355).  Murder or manslaughter?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Commonwealth v. Schnopps</w:t>
            </w:r>
          </w:p>
          <w:p w:rsidR="009B34DC" w:rsidRPr="00356644" w:rsidRDefault="009B34DC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Commonwealth v. Carr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State v. Mays</w:t>
            </w:r>
          </w:p>
          <w:p w:rsidR="007A5594" w:rsidRDefault="00A547CE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Feb. 27</w:t>
            </w:r>
            <w:r w:rsidR="007A559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:  Deadline for Submitting Freshman Midterm Grades</w:t>
            </w:r>
          </w:p>
          <w:p w:rsidR="00356644" w:rsidRPr="00356644" w:rsidRDefault="00A547CE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Mar. 1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: Mid-semester, 1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</w:rPr>
              <w:t>st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8 weeks Courses End</w:t>
            </w:r>
          </w:p>
          <w:p w:rsidR="00356644" w:rsidRPr="00356644" w:rsidRDefault="00A547CE" w:rsidP="001E2EA5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Mar. 2</w:t>
            </w:r>
            <w:r w:rsidR="00F64D3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: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2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vertAlign w:val="superscript"/>
              </w:rPr>
              <w:t>nd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8 Weeks Courses Begin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4A240B" w:rsidP="004A240B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320</w:t>
            </w:r>
            <w:r w:rsidR="00B46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700BC8" w:rsidP="007003C6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Mar. 6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7A5594" w:rsidRDefault="00356644" w:rsidP="00B25F31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REVIEW FOR EXAM # 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700BC8" w:rsidP="007003C6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Mar. 13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EXAM # 2 </w:t>
            </w: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</w:t>
            </w:r>
            <w:r w:rsidR="00700BC8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3/14</w:t>
            </w: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)</w:t>
            </w:r>
          </w:p>
          <w:p w:rsidR="00A547CE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Chapter 10 – Crimes against Persons II:  Criminal Sexual Conduct, Bodily Injury, </w:t>
            </w:r>
          </w:p>
          <w:p w:rsidR="00356644" w:rsidRPr="00356644" w:rsidRDefault="00A547CE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                     </w:t>
            </w:r>
            <w:r w:rsidR="00356644"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and Personal Restraint</w:t>
            </w:r>
          </w:p>
          <w:p w:rsidR="009B34DC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BRIEF:  </w:t>
            </w:r>
            <w:r w:rsidR="009B34DC" w:rsidRPr="009B34D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People v. Evans</w:t>
            </w:r>
          </w:p>
          <w:p w:rsidR="00356644" w:rsidRDefault="009B34DC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          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Commonwealth v. Berkowitz</w:t>
            </w:r>
          </w:p>
          <w:p w:rsidR="00A547CE" w:rsidRDefault="00A547CE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In the Interest of S.M.I.</w:t>
            </w:r>
          </w:p>
          <w:p w:rsidR="00A547CE" w:rsidRPr="00356644" w:rsidRDefault="00A547CE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State v. Triestman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Hamilton v. Cameron</w:t>
            </w:r>
          </w:p>
          <w:p w:rsidR="00A547CE" w:rsidRPr="00A547CE" w:rsidRDefault="00A547CE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ASSIGNMENT:  YOU Decide (p. 424).  Is criminal law the best response . . . ?</w:t>
            </w:r>
          </w:p>
          <w:p w:rsidR="00356644" w:rsidRDefault="00A547CE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BRIEF: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State v. Hoying</w:t>
            </w:r>
          </w:p>
          <w:p w:rsidR="00A547CE" w:rsidRPr="00A547CE" w:rsidRDefault="00A547CE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ASSIGNMENT:  YOU Decide (p. 421).  Should cyberbullying be a crime?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People v. Allen</w:t>
            </w:r>
          </w:p>
          <w:p w:rsidR="003D3E6A" w:rsidRPr="003D3E6A" w:rsidRDefault="00A547CE" w:rsidP="003D3E6A">
            <w:pPr>
              <w:pStyle w:val="NoSpacing"/>
              <w:rPr>
                <w:i/>
              </w:rPr>
            </w:pPr>
            <w:r>
              <w:rPr>
                <w:i/>
              </w:rPr>
              <w:t>Mar. 13</w:t>
            </w:r>
            <w:r w:rsidR="003D3E6A" w:rsidRPr="003D3E6A">
              <w:rPr>
                <w:i/>
              </w:rPr>
              <w:t>:  Students should schedule appointments with advisors to prepare for advance registration</w:t>
            </w:r>
          </w:p>
          <w:p w:rsidR="00356644" w:rsidRPr="00356644" w:rsidRDefault="00A547CE" w:rsidP="001E2EA5">
            <w:pPr>
              <w:pStyle w:val="NoSpacing"/>
            </w:pPr>
            <w:r>
              <w:rPr>
                <w:i/>
              </w:rPr>
              <w:t>Mar. 17</w:t>
            </w:r>
            <w:r w:rsidR="00356644" w:rsidRPr="003D3E6A">
              <w:rPr>
                <w:i/>
              </w:rPr>
              <w:t>: Last day to drop individual classes with W grade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56644" w:rsidRPr="00356644" w:rsidRDefault="00B46E6C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A547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547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429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00BC8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BC8" w:rsidRDefault="00700BC8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Mar. 20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BC8" w:rsidRPr="00356644" w:rsidRDefault="00700BC8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SPRING BREAK – CLASSES DISMISSED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BC8" w:rsidRDefault="00700BC8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6644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700BC8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Mar. 27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Chapter 11 – Crimes against Property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BRIEF:  </w:t>
            </w:r>
            <w:r w:rsidR="00551C0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People v. Lee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         </w:t>
            </w: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U.S. v. </w:t>
            </w:r>
            <w:r w:rsidR="009B34D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Maze</w:t>
            </w:r>
          </w:p>
          <w:p w:rsidR="00551C0C" w:rsidRPr="00356644" w:rsidRDefault="00551C0C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State v. Rolon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Sonnier v. State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Commonwealth v. Mitchell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Jewell v. State</w:t>
            </w:r>
          </w:p>
          <w:p w:rsidR="009B34DC" w:rsidRDefault="009B34DC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</w:t>
            </w:r>
            <w:r w:rsidR="00551C0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Flores-Figueroa v. U.S.</w:t>
            </w:r>
          </w:p>
          <w:p w:rsidR="009B34DC" w:rsidRDefault="009B34DC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U.S. v. Ancheta</w:t>
            </w:r>
          </w:p>
          <w:p w:rsidR="00551C0C" w:rsidRDefault="00551C0C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U.S. v. Ulbricht</w:t>
            </w:r>
          </w:p>
          <w:p w:rsidR="00A547CE" w:rsidRPr="00356644" w:rsidRDefault="00A547CE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Mar. 27 – 31:  Advance Registration for Summer Sessions (currently enrolled students only</w:t>
            </w:r>
          </w:p>
          <w:p w:rsidR="00356644" w:rsidRPr="00356644" w:rsidRDefault="00DF4EC5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Mar 27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:  Recommended Date to Apply for </w:t>
            </w:r>
            <w:r w:rsidR="00A547C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Dec. 2017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Graduation</w:t>
            </w:r>
          </w:p>
          <w:p w:rsidR="003D3E6A" w:rsidRPr="00356644" w:rsidRDefault="00DF4EC5" w:rsidP="001E2EA5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Mar. 27 – Apr. 28</w:t>
            </w:r>
            <w:r w:rsidR="00356644"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: Complete withdrawals only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551C0C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  <w:r w:rsidR="00B46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6644" w:rsidRPr="00356644" w:rsidTr="00F57D56">
        <w:trPr>
          <w:cantSplit/>
          <w:trHeight w:val="1873"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700BC8" w:rsidP="007003C6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Apr. 3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Chapter 12 – Crimes against Public Order and Morals</w:t>
            </w:r>
          </w:p>
          <w:p w:rsidR="00356644" w:rsidRP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BRIEF:  </w:t>
            </w: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City of Chicago v. Morales</w:t>
            </w:r>
          </w:p>
          <w:p w:rsidR="00356644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City of St. Paul v. East Side Boys &amp; Selby Siders</w:t>
            </w:r>
          </w:p>
          <w:p w:rsidR="00FE30B1" w:rsidRDefault="00FE30B1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U.S. Department of Justice v. Civil Rights Division</w:t>
            </w:r>
          </w:p>
          <w:p w:rsidR="00356644" w:rsidRPr="00FE30B1" w:rsidRDefault="00356644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Chapter 13 – Crimes against the State</w:t>
            </w:r>
          </w:p>
          <w:p w:rsidR="009B34DC" w:rsidRDefault="001978E7" w:rsidP="006005C9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YOU Decide (pp. 525-527).  Did they commit sabotage?</w:t>
            </w:r>
            <w:bookmarkStart w:id="0" w:name="_GoBack"/>
            <w:bookmarkEnd w:id="0"/>
          </w:p>
          <w:p w:rsidR="003D3E6A" w:rsidRPr="00F57D56" w:rsidRDefault="00215D3D" w:rsidP="00F57D56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 U.S. v. Khan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644" w:rsidRPr="00356644" w:rsidRDefault="00B46E6C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551C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4-</w:t>
            </w:r>
            <w:r w:rsidR="00FE30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15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  <w:p w:rsidR="00356644" w:rsidRPr="00356644" w:rsidRDefault="00356644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56644" w:rsidRDefault="00356644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57D56" w:rsidRPr="00356644" w:rsidRDefault="00F57D56" w:rsidP="006005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56644" w:rsidRPr="00356644" w:rsidRDefault="00FE30B1" w:rsidP="00F57D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518</w:t>
            </w:r>
            <w:r w:rsidR="00B46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</w:tr>
      <w:tr w:rsidR="00A547CE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Apr. 10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Chapter 5 – Defenses to Criminal Liability:  Justifications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BRIEF:  </w:t>
            </w:r>
            <w:r w:rsidRPr="00D245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State v. Batie</w:t>
            </w:r>
          </w:p>
          <w:p w:rsidR="00A547CE" w:rsidRPr="009B34DC" w:rsidRDefault="00A547CE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U.S. v. Haynes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</w:t>
            </w: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People v. Goetz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State v. Stewart</w:t>
            </w:r>
          </w:p>
          <w:p w:rsidR="00A547CE" w:rsidRPr="00D245F2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ASSIGNMENT:  YOU Decide (p. 191).  Do the New Castle Laws protect . . . ?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BRIEF: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Toops v. State</w:t>
            </w:r>
          </w:p>
          <w:p w:rsidR="00A547CE" w:rsidRPr="00D245F2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ASSIGNMENT:  YOU Decide (p. 196).  Was burglary the lesser evil?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           </w:t>
            </w:r>
            <w:r w:rsidRPr="0035664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State v. Shelley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ASSIGNMENT: YOU Decide (pp. 201-202). Can she/he consent to being assaulted?</w:t>
            </w:r>
          </w:p>
          <w:p w:rsidR="00A547CE" w:rsidRDefault="00DF4EC5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F4EC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Apr. 10 – Apr. 21:  Advance Registration for Fall Semester (currently enrolled students only)</w:t>
            </w:r>
          </w:p>
          <w:p w:rsidR="00215D3D" w:rsidRPr="00DF4EC5" w:rsidRDefault="00215D3D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April 11: Last Day to Drop 2</w:t>
            </w:r>
            <w:r w:rsidRPr="00215D3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8 Weeks Classes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162-203</w:t>
            </w:r>
          </w:p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47CE" w:rsidRPr="00356644" w:rsidTr="00D42621">
        <w:trPr>
          <w:cantSplit/>
          <w:trHeight w:val="460"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Apr. 17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Chapter 6 – Defenses to Criminal Liability:  Excuses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BRIEF: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35664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Myers v. State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 State v. K.R.L.</w:t>
            </w:r>
          </w:p>
          <w:p w:rsidR="00A547CE" w:rsidRPr="00D245F2" w:rsidRDefault="00A547CE" w:rsidP="00A547CE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ASSIGNMENT:  YOU Decide (p. 226).  Is it ethical policy to try an 8 year old . . . ?</w:t>
            </w:r>
          </w:p>
          <w:p w:rsidR="00A547CE" w:rsidRDefault="00A547CE" w:rsidP="00A547CE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 Oliver v. State</w:t>
            </w:r>
          </w:p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 DePasquale v. State</w:t>
            </w:r>
          </w:p>
          <w:p w:rsidR="00A547CE" w:rsidRPr="004B3351" w:rsidRDefault="00A547CE" w:rsidP="00A547CE">
            <w:pPr>
              <w:widowControl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3566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 State v.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Belew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204-241</w:t>
            </w:r>
          </w:p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47CE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Apr. 24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for Final Exam</w:t>
            </w:r>
          </w:p>
          <w:p w:rsidR="00A547CE" w:rsidRDefault="00215D3D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Apr. 24 – 28</w:t>
            </w:r>
            <w:r w:rsidR="00A547C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 Dead Week</w:t>
            </w:r>
          </w:p>
          <w:p w:rsidR="00A547CE" w:rsidRPr="004B3351" w:rsidRDefault="00215D3D" w:rsidP="00A547CE">
            <w:pPr>
              <w:widowControl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Apr. 28</w:t>
            </w:r>
            <w:r w:rsidR="00A547C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:  Last day to completely withdraw from fall semester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547CE" w:rsidRPr="00356644" w:rsidTr="00D42621">
        <w:trPr>
          <w:cantSplit/>
          <w:jc w:val="center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 1</w:t>
            </w:r>
          </w:p>
        </w:tc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5/2/17 @ 8:00 am</w:t>
            </w:r>
            <w:r w:rsidR="00215D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FINAL EXAM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CE" w:rsidRPr="00356644" w:rsidRDefault="00A547CE" w:rsidP="00A547CE">
            <w:pPr>
              <w:widowControl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95D67" w:rsidRPr="00603B11" w:rsidRDefault="00F95D67" w:rsidP="00356644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645F40">
      <w:endnotePr>
        <w:numFmt w:val="decimal"/>
      </w:endnotePr>
      <w:type w:val="continuous"/>
      <w:pgSz w:w="12240" w:h="15840"/>
      <w:pgMar w:top="720" w:right="1440" w:bottom="27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DD" w:rsidRDefault="005753DD">
      <w:r>
        <w:separator/>
      </w:r>
    </w:p>
  </w:endnote>
  <w:endnote w:type="continuationSeparator" w:id="0">
    <w:p w:rsidR="005753DD" w:rsidRDefault="0057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F7497C">
    <w:pPr>
      <w:spacing w:line="240" w:lineRule="exact"/>
    </w:pPr>
  </w:p>
  <w:p w:rsidR="00F7497C" w:rsidRPr="000018EE" w:rsidRDefault="0043392F">
    <w:pPr>
      <w:framePr w:w="9361" w:wrap="notBeside" w:vAnchor="text" w:hAnchor="text" w:x="1" w:y="1"/>
      <w:jc w:val="center"/>
      <w:rPr>
        <w:rFonts w:asciiTheme="minorHAnsi" w:hAnsiTheme="minorHAnsi" w:cstheme="minorHAnsi"/>
        <w:sz w:val="22"/>
        <w:szCs w:val="22"/>
      </w:rPr>
    </w:pPr>
    <w:r w:rsidRPr="000018EE">
      <w:rPr>
        <w:rFonts w:asciiTheme="minorHAnsi" w:hAnsiTheme="minorHAnsi" w:cstheme="minorHAnsi"/>
        <w:sz w:val="22"/>
        <w:szCs w:val="22"/>
      </w:rPr>
      <w:fldChar w:fldCharType="begin"/>
    </w:r>
    <w:r w:rsidR="00F7497C" w:rsidRPr="000018EE">
      <w:rPr>
        <w:rFonts w:asciiTheme="minorHAnsi" w:hAnsiTheme="minorHAnsi" w:cstheme="minorHAnsi"/>
        <w:sz w:val="22"/>
        <w:szCs w:val="22"/>
      </w:rPr>
      <w:instrText xml:space="preserve">PAGE </w:instrText>
    </w:r>
    <w:r w:rsidRPr="000018EE">
      <w:rPr>
        <w:rFonts w:asciiTheme="minorHAnsi" w:hAnsiTheme="minorHAnsi" w:cstheme="minorHAnsi"/>
        <w:sz w:val="22"/>
        <w:szCs w:val="22"/>
      </w:rPr>
      <w:fldChar w:fldCharType="separate"/>
    </w:r>
    <w:r w:rsidR="001978E7">
      <w:rPr>
        <w:rFonts w:asciiTheme="minorHAnsi" w:hAnsiTheme="minorHAnsi" w:cstheme="minorHAnsi"/>
        <w:noProof/>
        <w:sz w:val="22"/>
        <w:szCs w:val="22"/>
      </w:rPr>
      <w:t>2</w:t>
    </w:r>
    <w:r w:rsidRPr="000018EE">
      <w:rPr>
        <w:rFonts w:asciiTheme="minorHAnsi" w:hAnsiTheme="minorHAnsi" w:cstheme="minorHAnsi"/>
        <w:sz w:val="22"/>
        <w:szCs w:val="22"/>
      </w:rPr>
      <w:fldChar w:fldCharType="end"/>
    </w:r>
  </w:p>
  <w:p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F7497C">
    <w:pPr>
      <w:spacing w:line="240" w:lineRule="exact"/>
    </w:pPr>
  </w:p>
  <w:p w:rsidR="00F7497C" w:rsidRDefault="0043392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978E7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DD" w:rsidRDefault="005753DD">
      <w:r>
        <w:separator/>
      </w:r>
    </w:p>
  </w:footnote>
  <w:footnote w:type="continuationSeparator" w:id="0">
    <w:p w:rsidR="005753DD" w:rsidRDefault="0057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A14"/>
    <w:multiLevelType w:val="hybridMultilevel"/>
    <w:tmpl w:val="32C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7E09"/>
    <w:multiLevelType w:val="hybridMultilevel"/>
    <w:tmpl w:val="DB64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F0CE1"/>
    <w:multiLevelType w:val="hybridMultilevel"/>
    <w:tmpl w:val="87AA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2915"/>
    <w:multiLevelType w:val="hybridMultilevel"/>
    <w:tmpl w:val="7E3A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A29BB"/>
    <w:multiLevelType w:val="hybridMultilevel"/>
    <w:tmpl w:val="539C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644B5"/>
    <w:multiLevelType w:val="hybridMultilevel"/>
    <w:tmpl w:val="90AC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2743"/>
    <w:multiLevelType w:val="hybridMultilevel"/>
    <w:tmpl w:val="2E66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37DF5"/>
    <w:multiLevelType w:val="hybridMultilevel"/>
    <w:tmpl w:val="97B2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634FB"/>
    <w:multiLevelType w:val="hybridMultilevel"/>
    <w:tmpl w:val="B40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57DC9"/>
    <w:multiLevelType w:val="hybridMultilevel"/>
    <w:tmpl w:val="D0B2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40412"/>
    <w:multiLevelType w:val="hybridMultilevel"/>
    <w:tmpl w:val="7E3A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29"/>
  </w:num>
  <w:num w:numId="5">
    <w:abstractNumId w:val="17"/>
  </w:num>
  <w:num w:numId="6">
    <w:abstractNumId w:val="30"/>
  </w:num>
  <w:num w:numId="7">
    <w:abstractNumId w:val="24"/>
  </w:num>
  <w:num w:numId="8">
    <w:abstractNumId w:val="21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31"/>
  </w:num>
  <w:num w:numId="14">
    <w:abstractNumId w:val="12"/>
  </w:num>
  <w:num w:numId="15">
    <w:abstractNumId w:val="1"/>
  </w:num>
  <w:num w:numId="16">
    <w:abstractNumId w:val="7"/>
  </w:num>
  <w:num w:numId="17">
    <w:abstractNumId w:val="26"/>
  </w:num>
  <w:num w:numId="18">
    <w:abstractNumId w:val="22"/>
  </w:num>
  <w:num w:numId="19">
    <w:abstractNumId w:val="25"/>
  </w:num>
  <w:num w:numId="20">
    <w:abstractNumId w:val="0"/>
  </w:num>
  <w:num w:numId="21">
    <w:abstractNumId w:val="3"/>
  </w:num>
  <w:num w:numId="22">
    <w:abstractNumId w:val="23"/>
  </w:num>
  <w:num w:numId="23">
    <w:abstractNumId w:val="9"/>
  </w:num>
  <w:num w:numId="24">
    <w:abstractNumId w:val="8"/>
  </w:num>
  <w:num w:numId="25">
    <w:abstractNumId w:val="5"/>
  </w:num>
  <w:num w:numId="26">
    <w:abstractNumId w:val="19"/>
  </w:num>
  <w:num w:numId="27">
    <w:abstractNumId w:val="11"/>
  </w:num>
  <w:num w:numId="28">
    <w:abstractNumId w:val="20"/>
  </w:num>
  <w:num w:numId="29">
    <w:abstractNumId w:val="32"/>
  </w:num>
  <w:num w:numId="30">
    <w:abstractNumId w:val="4"/>
  </w:num>
  <w:num w:numId="31">
    <w:abstractNumId w:val="27"/>
  </w:num>
  <w:num w:numId="32">
    <w:abstractNumId w:val="33"/>
  </w:num>
  <w:num w:numId="33">
    <w:abstractNumId w:val="6"/>
  </w:num>
  <w:num w:numId="3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18EE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3D38"/>
    <w:rsid w:val="000C7A96"/>
    <w:rsid w:val="00106FBB"/>
    <w:rsid w:val="00120DF1"/>
    <w:rsid w:val="0012788A"/>
    <w:rsid w:val="0014633D"/>
    <w:rsid w:val="00153E8F"/>
    <w:rsid w:val="0015554D"/>
    <w:rsid w:val="00162090"/>
    <w:rsid w:val="00166277"/>
    <w:rsid w:val="0016798C"/>
    <w:rsid w:val="00171DC1"/>
    <w:rsid w:val="00180281"/>
    <w:rsid w:val="001978E7"/>
    <w:rsid w:val="001A0191"/>
    <w:rsid w:val="001A0D52"/>
    <w:rsid w:val="001A18BD"/>
    <w:rsid w:val="001C1789"/>
    <w:rsid w:val="001C1884"/>
    <w:rsid w:val="001C5C7C"/>
    <w:rsid w:val="001E2EA5"/>
    <w:rsid w:val="001E7217"/>
    <w:rsid w:val="001F145C"/>
    <w:rsid w:val="00200328"/>
    <w:rsid w:val="002014CF"/>
    <w:rsid w:val="00213E3D"/>
    <w:rsid w:val="00215D3D"/>
    <w:rsid w:val="002244CF"/>
    <w:rsid w:val="00232437"/>
    <w:rsid w:val="0023753C"/>
    <w:rsid w:val="0024267A"/>
    <w:rsid w:val="002428DD"/>
    <w:rsid w:val="0025125A"/>
    <w:rsid w:val="00254153"/>
    <w:rsid w:val="00256D23"/>
    <w:rsid w:val="00256D63"/>
    <w:rsid w:val="00262095"/>
    <w:rsid w:val="0026652B"/>
    <w:rsid w:val="00287161"/>
    <w:rsid w:val="00297E3A"/>
    <w:rsid w:val="002B36D1"/>
    <w:rsid w:val="002C2389"/>
    <w:rsid w:val="002D0988"/>
    <w:rsid w:val="002D3151"/>
    <w:rsid w:val="002D5474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56644"/>
    <w:rsid w:val="00357A79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D3E6A"/>
    <w:rsid w:val="003E0A8A"/>
    <w:rsid w:val="003E10F5"/>
    <w:rsid w:val="003F3C67"/>
    <w:rsid w:val="00402EEF"/>
    <w:rsid w:val="0040416A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1722"/>
    <w:rsid w:val="004855E5"/>
    <w:rsid w:val="004904B8"/>
    <w:rsid w:val="00491DAA"/>
    <w:rsid w:val="0049766C"/>
    <w:rsid w:val="004A240B"/>
    <w:rsid w:val="004A42B8"/>
    <w:rsid w:val="004B0524"/>
    <w:rsid w:val="004B3351"/>
    <w:rsid w:val="004B497D"/>
    <w:rsid w:val="004B4EF4"/>
    <w:rsid w:val="004B569E"/>
    <w:rsid w:val="004C1F79"/>
    <w:rsid w:val="004C4C08"/>
    <w:rsid w:val="004C6B5B"/>
    <w:rsid w:val="004C7D39"/>
    <w:rsid w:val="004D6215"/>
    <w:rsid w:val="004E119F"/>
    <w:rsid w:val="004E3BA0"/>
    <w:rsid w:val="004E6D91"/>
    <w:rsid w:val="00530724"/>
    <w:rsid w:val="00536080"/>
    <w:rsid w:val="00542250"/>
    <w:rsid w:val="00546FD1"/>
    <w:rsid w:val="005473C4"/>
    <w:rsid w:val="005502E1"/>
    <w:rsid w:val="00551C0C"/>
    <w:rsid w:val="0055689A"/>
    <w:rsid w:val="005616C1"/>
    <w:rsid w:val="00562B3C"/>
    <w:rsid w:val="00567A7B"/>
    <w:rsid w:val="00571D28"/>
    <w:rsid w:val="005742FD"/>
    <w:rsid w:val="005753DD"/>
    <w:rsid w:val="0058042A"/>
    <w:rsid w:val="005808AC"/>
    <w:rsid w:val="00585D04"/>
    <w:rsid w:val="0058798D"/>
    <w:rsid w:val="005929E8"/>
    <w:rsid w:val="005B6ACE"/>
    <w:rsid w:val="005B7737"/>
    <w:rsid w:val="005C13F1"/>
    <w:rsid w:val="005C46E3"/>
    <w:rsid w:val="005E12A4"/>
    <w:rsid w:val="005F1E9F"/>
    <w:rsid w:val="006005C9"/>
    <w:rsid w:val="00603B11"/>
    <w:rsid w:val="00621D45"/>
    <w:rsid w:val="0062290A"/>
    <w:rsid w:val="00623EED"/>
    <w:rsid w:val="006333E1"/>
    <w:rsid w:val="00635F0F"/>
    <w:rsid w:val="00637401"/>
    <w:rsid w:val="00641681"/>
    <w:rsid w:val="00645F40"/>
    <w:rsid w:val="006475D3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003C6"/>
    <w:rsid w:val="00700BC8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8319E"/>
    <w:rsid w:val="0079046B"/>
    <w:rsid w:val="007A5594"/>
    <w:rsid w:val="007A6D1B"/>
    <w:rsid w:val="007A7FBD"/>
    <w:rsid w:val="007C1BD9"/>
    <w:rsid w:val="007C48BE"/>
    <w:rsid w:val="007D2374"/>
    <w:rsid w:val="007D2C72"/>
    <w:rsid w:val="008027DE"/>
    <w:rsid w:val="00817A7C"/>
    <w:rsid w:val="00821176"/>
    <w:rsid w:val="00822C76"/>
    <w:rsid w:val="00827498"/>
    <w:rsid w:val="00831414"/>
    <w:rsid w:val="0083547A"/>
    <w:rsid w:val="00845615"/>
    <w:rsid w:val="00850C11"/>
    <w:rsid w:val="008532A6"/>
    <w:rsid w:val="00853BBF"/>
    <w:rsid w:val="008613BC"/>
    <w:rsid w:val="00866B26"/>
    <w:rsid w:val="00880251"/>
    <w:rsid w:val="00882181"/>
    <w:rsid w:val="0088581D"/>
    <w:rsid w:val="00886C79"/>
    <w:rsid w:val="008921AF"/>
    <w:rsid w:val="008A0F86"/>
    <w:rsid w:val="008A261B"/>
    <w:rsid w:val="008B289E"/>
    <w:rsid w:val="008D05D8"/>
    <w:rsid w:val="008E55D8"/>
    <w:rsid w:val="008E6AF8"/>
    <w:rsid w:val="008E6EE1"/>
    <w:rsid w:val="008F7A28"/>
    <w:rsid w:val="00904029"/>
    <w:rsid w:val="00917F42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B2939"/>
    <w:rsid w:val="009B34DC"/>
    <w:rsid w:val="009C0435"/>
    <w:rsid w:val="009E49CF"/>
    <w:rsid w:val="00A141E6"/>
    <w:rsid w:val="00A230E2"/>
    <w:rsid w:val="00A42768"/>
    <w:rsid w:val="00A43C70"/>
    <w:rsid w:val="00A4406D"/>
    <w:rsid w:val="00A46356"/>
    <w:rsid w:val="00A547CE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25F31"/>
    <w:rsid w:val="00B44D5D"/>
    <w:rsid w:val="00B461B3"/>
    <w:rsid w:val="00B46E6C"/>
    <w:rsid w:val="00B518BE"/>
    <w:rsid w:val="00B777AA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D33DC"/>
    <w:rsid w:val="00BE0912"/>
    <w:rsid w:val="00BE308E"/>
    <w:rsid w:val="00BE3D82"/>
    <w:rsid w:val="00BF4431"/>
    <w:rsid w:val="00C04F78"/>
    <w:rsid w:val="00C06CBF"/>
    <w:rsid w:val="00C07200"/>
    <w:rsid w:val="00C14835"/>
    <w:rsid w:val="00C21230"/>
    <w:rsid w:val="00C25163"/>
    <w:rsid w:val="00C63D80"/>
    <w:rsid w:val="00C64319"/>
    <w:rsid w:val="00C65E3C"/>
    <w:rsid w:val="00C74C3B"/>
    <w:rsid w:val="00C84B57"/>
    <w:rsid w:val="00C91A85"/>
    <w:rsid w:val="00CA2DB0"/>
    <w:rsid w:val="00CA7B3B"/>
    <w:rsid w:val="00CE5CF7"/>
    <w:rsid w:val="00CF3CB3"/>
    <w:rsid w:val="00D016BF"/>
    <w:rsid w:val="00D245F2"/>
    <w:rsid w:val="00D42621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E13B4"/>
    <w:rsid w:val="00DF0DF7"/>
    <w:rsid w:val="00DF4EC5"/>
    <w:rsid w:val="00E0641A"/>
    <w:rsid w:val="00E21782"/>
    <w:rsid w:val="00E21A0F"/>
    <w:rsid w:val="00E52323"/>
    <w:rsid w:val="00E57F9F"/>
    <w:rsid w:val="00E71921"/>
    <w:rsid w:val="00E7717A"/>
    <w:rsid w:val="00E85C8E"/>
    <w:rsid w:val="00E91946"/>
    <w:rsid w:val="00E923E5"/>
    <w:rsid w:val="00E96EB9"/>
    <w:rsid w:val="00EC3ED4"/>
    <w:rsid w:val="00EC70C8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57D56"/>
    <w:rsid w:val="00F603D6"/>
    <w:rsid w:val="00F64070"/>
    <w:rsid w:val="00F64D32"/>
    <w:rsid w:val="00F669E9"/>
    <w:rsid w:val="00F7271A"/>
    <w:rsid w:val="00F7497C"/>
    <w:rsid w:val="00F8317C"/>
    <w:rsid w:val="00F95D67"/>
    <w:rsid w:val="00FC181B"/>
    <w:rsid w:val="00FE30B1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48F46A-521D-4AFA-B017-9CD7995B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wnmp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11937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subject/>
  <dc:creator>Pam R. Gardner</dc:creator>
  <cp:keywords/>
  <dc:description/>
  <cp:lastModifiedBy>Brown, Margaret Phipps</cp:lastModifiedBy>
  <cp:revision>2</cp:revision>
  <cp:lastPrinted>2016-08-16T13:24:00Z</cp:lastPrinted>
  <dcterms:created xsi:type="dcterms:W3CDTF">2017-01-12T16:11:00Z</dcterms:created>
  <dcterms:modified xsi:type="dcterms:W3CDTF">2017-01-12T16:11:00Z</dcterms:modified>
</cp:coreProperties>
</file>