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D072" w14:textId="77777777" w:rsidR="00DA62DE" w:rsidRPr="00EC7F4F" w:rsidRDefault="00DA62DE" w:rsidP="00E21A0F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698985" w14:textId="77777777" w:rsidR="00E21A0F" w:rsidRPr="00EC7F4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Marshall University</w:t>
      </w:r>
      <w:r w:rsidR="00E21A0F" w:rsidRPr="00EC7F4F">
        <w:rPr>
          <w:rFonts w:asciiTheme="minorHAnsi" w:hAnsiTheme="minorHAnsi"/>
          <w:b/>
          <w:sz w:val="22"/>
          <w:szCs w:val="22"/>
        </w:rPr>
        <w:t xml:space="preserve"> </w:t>
      </w:r>
      <w:r w:rsidR="00EC7F4F">
        <w:rPr>
          <w:rFonts w:asciiTheme="minorHAnsi" w:hAnsiTheme="minorHAnsi"/>
          <w:b/>
          <w:sz w:val="22"/>
          <w:szCs w:val="22"/>
        </w:rPr>
        <w:t>Course Syllabus</w:t>
      </w:r>
    </w:p>
    <w:p w14:paraId="66CD8091" w14:textId="77777777" w:rsidR="008E6EE1" w:rsidRPr="00EC7F4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C7F4F" w14:paraId="7C5B9B63" w14:textId="77777777" w:rsidTr="002C2389">
        <w:tc>
          <w:tcPr>
            <w:tcW w:w="2340" w:type="dxa"/>
          </w:tcPr>
          <w:p w14:paraId="74CA1EED" w14:textId="77777777" w:rsidR="00866B26" w:rsidRPr="00EC7F4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C7F4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09116BA7" w14:textId="77777777" w:rsidR="00866B26" w:rsidRPr="00EC7F4F" w:rsidRDefault="00CB1746" w:rsidP="00CB17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Mathematics Skills II / </w:t>
            </w:r>
            <w:r w:rsidR="00D50E0F" w:rsidRPr="00EC7F4F">
              <w:rPr>
                <w:rFonts w:asciiTheme="minorHAnsi" w:hAnsiTheme="minorHAnsi"/>
                <w:b/>
                <w:sz w:val="22"/>
                <w:szCs w:val="22"/>
              </w:rPr>
              <w:t>MTH 099</w:t>
            </w:r>
          </w:p>
        </w:tc>
      </w:tr>
      <w:tr w:rsidR="00866B26" w:rsidRPr="00EC7F4F" w14:paraId="2C0C8768" w14:textId="77777777" w:rsidTr="002C2389">
        <w:tc>
          <w:tcPr>
            <w:tcW w:w="2340" w:type="dxa"/>
          </w:tcPr>
          <w:p w14:paraId="61652E3B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C7F4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01AB84A6" w14:textId="77777777" w:rsidR="00866B26" w:rsidRPr="00EC7F4F" w:rsidRDefault="00CB174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Spring 2015</w:t>
            </w:r>
          </w:p>
        </w:tc>
      </w:tr>
      <w:tr w:rsidR="00866B26" w:rsidRPr="00EC7F4F" w14:paraId="394D09DD" w14:textId="77777777" w:rsidTr="002C2389">
        <w:tc>
          <w:tcPr>
            <w:tcW w:w="2340" w:type="dxa"/>
          </w:tcPr>
          <w:p w14:paraId="77B375F9" w14:textId="77777777" w:rsidR="00866B26" w:rsidRPr="00EC7F4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C7F4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3AC1D675" w14:textId="39295C2D" w:rsidR="00866B26" w:rsidRPr="00EC7F4F" w:rsidRDefault="004D3676" w:rsidP="00CE12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8:00 – 8:50</w:t>
            </w:r>
          </w:p>
        </w:tc>
      </w:tr>
      <w:tr w:rsidR="00866B26" w:rsidRPr="00EC7F4F" w14:paraId="210DA07E" w14:textId="77777777" w:rsidTr="002C2389">
        <w:tc>
          <w:tcPr>
            <w:tcW w:w="2340" w:type="dxa"/>
          </w:tcPr>
          <w:p w14:paraId="5B804870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6367D2C4" w14:textId="66C8C6E3" w:rsidR="00866B26" w:rsidRPr="00EC7F4F" w:rsidRDefault="004D367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516</w:t>
            </w:r>
          </w:p>
        </w:tc>
      </w:tr>
      <w:tr w:rsidR="00866B26" w:rsidRPr="00EC7F4F" w14:paraId="20098281" w14:textId="77777777" w:rsidTr="002C2389">
        <w:tc>
          <w:tcPr>
            <w:tcW w:w="2340" w:type="dxa"/>
          </w:tcPr>
          <w:p w14:paraId="22D2BBD8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097D1E8B" w14:textId="3F82CFE7" w:rsidR="00866B26" w:rsidRPr="00EC7F4F" w:rsidRDefault="004D367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Jacob Fischer</w:t>
            </w:r>
          </w:p>
        </w:tc>
      </w:tr>
      <w:tr w:rsidR="00866B26" w:rsidRPr="00EC7F4F" w14:paraId="2C2FC106" w14:textId="77777777" w:rsidTr="002C2389">
        <w:tc>
          <w:tcPr>
            <w:tcW w:w="2340" w:type="dxa"/>
          </w:tcPr>
          <w:p w14:paraId="27E057B2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491106B" w14:textId="77777777" w:rsidR="00866B26" w:rsidRPr="00EC7F4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C7F4F" w14:paraId="40ABBFE2" w14:textId="77777777" w:rsidTr="002C2389">
        <w:tc>
          <w:tcPr>
            <w:tcW w:w="2340" w:type="dxa"/>
          </w:tcPr>
          <w:p w14:paraId="3F0CC917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688B3CE3" w14:textId="77777777" w:rsidR="00866B26" w:rsidRPr="00EC7F4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C7F4F" w14:paraId="72B8B984" w14:textId="77777777" w:rsidTr="002C2389">
        <w:tc>
          <w:tcPr>
            <w:tcW w:w="2340" w:type="dxa"/>
          </w:tcPr>
          <w:p w14:paraId="17ED1EC4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EC1FAA0" w14:textId="186EAECE" w:rsidR="00866B26" w:rsidRPr="00EC7F4F" w:rsidRDefault="004D367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fischerj@marshall.edu</w:t>
            </w:r>
          </w:p>
        </w:tc>
      </w:tr>
      <w:tr w:rsidR="00866B26" w:rsidRPr="00EC7F4F" w14:paraId="267C2B8D" w14:textId="77777777" w:rsidTr="002C2389">
        <w:tc>
          <w:tcPr>
            <w:tcW w:w="2340" w:type="dxa"/>
          </w:tcPr>
          <w:p w14:paraId="33B204A6" w14:textId="77777777" w:rsidR="00866B26" w:rsidRPr="00EC7F4F" w:rsidRDefault="00CB174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 xml:space="preserve">Office </w:t>
            </w:r>
            <w:r w:rsidR="00866B26" w:rsidRPr="00EC7F4F">
              <w:rPr>
                <w:rFonts w:asciiTheme="minorHAnsi" w:hAnsiTheme="minorHAnsi"/>
                <w:sz w:val="22"/>
                <w:szCs w:val="22"/>
              </w:rPr>
              <w:t>Hours</w:t>
            </w:r>
          </w:p>
          <w:p w14:paraId="4F692C58" w14:textId="77777777" w:rsidR="00CB1746" w:rsidRPr="00EC7F4F" w:rsidRDefault="00CB174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Tutoring Hours</w:t>
            </w:r>
          </w:p>
        </w:tc>
        <w:tc>
          <w:tcPr>
            <w:tcW w:w="7920" w:type="dxa"/>
          </w:tcPr>
          <w:p w14:paraId="6B293376" w14:textId="196F38EB" w:rsidR="00866B26" w:rsidRDefault="00924DC2" w:rsidP="00A93DB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9-11</w:t>
            </w:r>
            <w:bookmarkStart w:id="0" w:name="_GoBack"/>
            <w:bookmarkEnd w:id="0"/>
          </w:p>
          <w:p w14:paraId="10D71638" w14:textId="26A81660" w:rsidR="00924DC2" w:rsidRPr="00EC7F4F" w:rsidRDefault="00924DC2" w:rsidP="00A93DB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 10-2; W 10-2:30; TR 9-10:30</w:t>
            </w:r>
          </w:p>
        </w:tc>
      </w:tr>
      <w:tr w:rsidR="00FF6464" w:rsidRPr="00EC7F4F" w14:paraId="48DBEB07" w14:textId="77777777" w:rsidTr="002C2389">
        <w:tc>
          <w:tcPr>
            <w:tcW w:w="2340" w:type="dxa"/>
          </w:tcPr>
          <w:p w14:paraId="049F8576" w14:textId="77777777" w:rsidR="00FF6464" w:rsidRPr="00EC7F4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76CFAD0C" w14:textId="77777777" w:rsidR="00CB1746" w:rsidRPr="00EC7F4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</w:t>
            </w:r>
          </w:p>
          <w:p w14:paraId="182E9382" w14:textId="77777777" w:rsidR="00886C79" w:rsidRPr="00EC7F4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Please read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C7F4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C7F4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 w:rsidRPr="00EC7F4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14:paraId="4DDD964D" w14:textId="77777777" w:rsidR="00FF6464" w:rsidRPr="00EC7F4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>Co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C7F4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C7F4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37D44A54" w14:textId="77777777" w:rsidR="00886C79" w:rsidRPr="00EC7F4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63449BC" w14:textId="77777777" w:rsidR="002C2389" w:rsidRPr="00EC7F4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Course Description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C7F4F" w14:paraId="775C0473" w14:textId="77777777" w:rsidTr="002C2389">
        <w:tc>
          <w:tcPr>
            <w:tcW w:w="10260" w:type="dxa"/>
          </w:tcPr>
          <w:p w14:paraId="7EFDAD99" w14:textId="77777777" w:rsidR="00F312DD" w:rsidRPr="00EC7F4F" w:rsidRDefault="00D50E0F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The purpose of this course is to prepare </w:t>
            </w:r>
            <w:r w:rsidRPr="00EC7F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students 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low placement test scores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to take college level mathematics courses required in their program of study.  </w:t>
            </w:r>
          </w:p>
          <w:p w14:paraId="64F9D3E5" w14:textId="77777777" w:rsidR="00EC7F4F" w:rsidRPr="00EC7F4F" w:rsidRDefault="00EC7F4F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2E835" w14:textId="77777777" w:rsidR="00EC7F4F" w:rsidRPr="00EC7F4F" w:rsidRDefault="00EC7F4F" w:rsidP="00EC7F4F">
            <w:pPr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Prerequisite: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 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17–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>18 OR SAT equivalent OR successful completion of WMTH 001 or MTH 098.</w:t>
            </w:r>
          </w:p>
          <w:p w14:paraId="24D3284D" w14:textId="77777777" w:rsidR="00EC7F4F" w:rsidRPr="00EC7F4F" w:rsidRDefault="00EC7F4F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DCCCA" w14:textId="77777777" w:rsidR="00F312DD" w:rsidRPr="00EC7F4F" w:rsidRDefault="00F312DD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b/>
                <w:sz w:val="22"/>
                <w:szCs w:val="22"/>
              </w:rPr>
              <w:t>Note: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This is a </w:t>
            </w:r>
            <w:proofErr w:type="gramStart"/>
            <w:r w:rsidRPr="00EC7F4F">
              <w:rPr>
                <w:rFonts w:asciiTheme="minorHAnsi" w:hAnsiTheme="minorHAnsi" w:cstheme="minorHAnsi"/>
                <w:sz w:val="22"/>
                <w:szCs w:val="22"/>
              </w:rPr>
              <w:t>3 hour</w:t>
            </w:r>
            <w:proofErr w:type="gramEnd"/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course </w:t>
            </w:r>
            <w:r w:rsidR="00CB1746"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that satisfies prerequisites and 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>count</w:t>
            </w:r>
            <w:r w:rsidR="00CB1746" w:rsidRPr="00EC7F4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toward full time enrollment status, but </w:t>
            </w:r>
            <w:r w:rsidR="00EC7F4F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="00CB1746"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course 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does not count toward graduation or GPA.  A grade of </w:t>
            </w:r>
            <w:r w:rsidRPr="00EC7F4F">
              <w:rPr>
                <w:rFonts w:asciiTheme="minorHAnsi" w:hAnsiTheme="minorHAnsi" w:cstheme="minorHAnsi"/>
                <w:b/>
                <w:sz w:val="22"/>
                <w:szCs w:val="22"/>
              </w:rPr>
              <w:t>Credit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EC7F4F">
              <w:rPr>
                <w:rFonts w:asciiTheme="minorHAnsi" w:hAnsiTheme="minorHAnsi" w:cstheme="minorHAnsi"/>
                <w:b/>
                <w:sz w:val="22"/>
                <w:szCs w:val="22"/>
              </w:rPr>
              <w:t>No Credit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will be assigned.</w:t>
            </w:r>
          </w:p>
          <w:p w14:paraId="336651C7" w14:textId="77777777" w:rsidR="00F312DD" w:rsidRPr="00EC7F4F" w:rsidRDefault="00F312DD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23A2B8" w14:textId="77777777" w:rsidR="002C2389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22638E6" w14:textId="77777777" w:rsidR="00EC7F4F" w:rsidRPr="00EC7F4F" w:rsidRDefault="00EC7F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5F61910A" w14:textId="77777777" w:rsidR="00CB1746" w:rsidRPr="00EC7F4F" w:rsidRDefault="00CB1746" w:rsidP="00CB1746">
      <w:pPr>
        <w:tabs>
          <w:tab w:val="left" w:pos="-14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Learning Objectives</w:t>
      </w:r>
      <w:r w:rsidR="00E21A0F" w:rsidRPr="00EC7F4F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0"/>
        <w:gridCol w:w="1980"/>
      </w:tblGrid>
      <w:tr w:rsidR="00CB1746" w:rsidRPr="00EC7F4F" w14:paraId="3725D23B" w14:textId="77777777" w:rsidTr="00EC7F4F">
        <w:trPr>
          <w:trHeight w:val="512"/>
        </w:trPr>
        <w:tc>
          <w:tcPr>
            <w:tcW w:w="4680" w:type="dxa"/>
          </w:tcPr>
          <w:p w14:paraId="3D062365" w14:textId="77777777" w:rsidR="00E21A0F" w:rsidRPr="00EC7F4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3600" w:type="dxa"/>
          </w:tcPr>
          <w:p w14:paraId="2F88AFB6" w14:textId="77777777" w:rsidR="00E21A0F" w:rsidRPr="00EC7F4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EC7F4F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EC7F4F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1980" w:type="dxa"/>
          </w:tcPr>
          <w:p w14:paraId="29C9A0AD" w14:textId="77777777" w:rsidR="00E21A0F" w:rsidRPr="00EC7F4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EC7F4F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>ssessed  in this Course</w:t>
            </w:r>
          </w:p>
        </w:tc>
      </w:tr>
      <w:tr w:rsidR="00CB1746" w:rsidRPr="00EC7F4F" w14:paraId="076E6C7D" w14:textId="77777777" w:rsidTr="00EC7F4F">
        <w:tc>
          <w:tcPr>
            <w:tcW w:w="4680" w:type="dxa"/>
          </w:tcPr>
          <w:p w14:paraId="40FF02EA" w14:textId="77777777" w:rsidR="00E21A0F" w:rsidRPr="00EC7F4F" w:rsidRDefault="00E21A0F" w:rsidP="00EC7F4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 xml:space="preserve">Students will </w:t>
            </w:r>
            <w:r w:rsidR="00375C1A" w:rsidRPr="00EC7F4F">
              <w:rPr>
                <w:rFonts w:asciiTheme="minorHAnsi" w:hAnsiTheme="minorHAnsi" w:cstheme="minorHAnsi"/>
              </w:rPr>
              <w:t>categorize expressions versus equations, employing appropriate mathematical properties to demonstrate an understanding of linear expressions and equations.</w:t>
            </w:r>
          </w:p>
        </w:tc>
        <w:tc>
          <w:tcPr>
            <w:tcW w:w="3600" w:type="dxa"/>
          </w:tcPr>
          <w:p w14:paraId="121FB0EA" w14:textId="77777777" w:rsidR="00712F82" w:rsidRPr="00EC7F4F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Connect Math</w:t>
            </w:r>
            <w:r w:rsidR="00CB1746" w:rsidRPr="00EC7F4F">
              <w:rPr>
                <w:rFonts w:asciiTheme="minorHAnsi" w:hAnsiTheme="minorHAnsi"/>
              </w:rPr>
              <w:t xml:space="preserve"> Online Homework</w:t>
            </w:r>
          </w:p>
          <w:p w14:paraId="64D2B5AE" w14:textId="77777777" w:rsidR="00375C1A" w:rsidRPr="00EC7F4F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EC7F4F">
              <w:rPr>
                <w:rFonts w:asciiTheme="minorHAnsi" w:hAnsiTheme="minorHAnsi"/>
              </w:rPr>
              <w:t>Quizzes</w:t>
            </w:r>
          </w:p>
        </w:tc>
        <w:tc>
          <w:tcPr>
            <w:tcW w:w="1980" w:type="dxa"/>
          </w:tcPr>
          <w:p w14:paraId="0290C8A7" w14:textId="77777777" w:rsidR="00E21A0F" w:rsidRPr="00EC7F4F" w:rsidRDefault="00B174FF" w:rsidP="00D50E0F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CB1746" w:rsidRPr="00EC7F4F" w14:paraId="21C97FCF" w14:textId="77777777" w:rsidTr="00EC7F4F">
        <w:tc>
          <w:tcPr>
            <w:tcW w:w="4680" w:type="dxa"/>
          </w:tcPr>
          <w:p w14:paraId="3244A545" w14:textId="77777777" w:rsidR="00CA45A2" w:rsidRPr="00EC7F4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>employ appropriate mathematical properties to demonstrate an advanced understanding of the operations on and simplification of polynomial, rational, and radical expressions, including factoring.</w:t>
            </w:r>
          </w:p>
        </w:tc>
        <w:tc>
          <w:tcPr>
            <w:tcW w:w="3600" w:type="dxa"/>
          </w:tcPr>
          <w:p w14:paraId="0E8518D5" w14:textId="77777777" w:rsidR="00CA45A2" w:rsidRPr="00EC7F4F" w:rsidRDefault="00CA45A2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Connect Math</w:t>
            </w:r>
            <w:r w:rsidR="00CB1746" w:rsidRPr="00EC7F4F">
              <w:rPr>
                <w:rFonts w:asciiTheme="minorHAnsi" w:hAnsiTheme="minorHAnsi"/>
              </w:rPr>
              <w:t xml:space="preserve"> Online Homework</w:t>
            </w:r>
          </w:p>
          <w:p w14:paraId="231666A1" w14:textId="77777777" w:rsidR="00CA45A2" w:rsidRPr="00EC7F4F" w:rsidRDefault="00CA45A2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EC7F4F">
              <w:rPr>
                <w:rFonts w:asciiTheme="minorHAnsi" w:hAnsiTheme="minorHAnsi"/>
              </w:rPr>
              <w:t>Quizzes</w:t>
            </w:r>
          </w:p>
        </w:tc>
        <w:tc>
          <w:tcPr>
            <w:tcW w:w="1980" w:type="dxa"/>
          </w:tcPr>
          <w:p w14:paraId="2D6BF602" w14:textId="77777777" w:rsidR="00CA45A2" w:rsidRPr="00EC7F4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CB1746" w:rsidRPr="00EC7F4F" w14:paraId="5642D85E" w14:textId="77777777" w:rsidTr="00EC7F4F">
        <w:trPr>
          <w:trHeight w:val="224"/>
        </w:trPr>
        <w:tc>
          <w:tcPr>
            <w:tcW w:w="4680" w:type="dxa"/>
          </w:tcPr>
          <w:p w14:paraId="4A38F88F" w14:textId="77777777" w:rsidR="00AA5AC1" w:rsidRPr="00EC7F4F" w:rsidRDefault="00AA5AC1" w:rsidP="00CA45A2">
            <w:pPr>
              <w:pStyle w:val="ListParagraph"/>
              <w:spacing w:after="0" w:line="240" w:lineRule="auto"/>
              <w:ind w:left="-18" w:right="36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  <w:bCs/>
              </w:rPr>
              <w:t xml:space="preserve">Students will </w:t>
            </w:r>
            <w:r w:rsidRPr="00EC7F4F">
              <w:rPr>
                <w:rFonts w:asciiTheme="minorHAnsi" w:hAnsiTheme="minorHAnsi"/>
              </w:rPr>
              <w:t>articulate algebraic meanings for the solutions to linear, quadratic, rational, and radical equations, and also provide graphical representations for the solution(s) to linear equations.</w:t>
            </w:r>
          </w:p>
          <w:p w14:paraId="06A46BAB" w14:textId="77777777" w:rsidR="00AA5AC1" w:rsidRPr="00EC7F4F" w:rsidRDefault="00AA5AC1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6CC33584" w14:textId="77777777" w:rsidR="00AA5AC1" w:rsidRPr="00EC7F4F" w:rsidRDefault="00AA5AC1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Connect Math</w:t>
            </w:r>
            <w:r w:rsidR="00CB1746" w:rsidRPr="00EC7F4F">
              <w:rPr>
                <w:rFonts w:asciiTheme="minorHAnsi" w:hAnsiTheme="minorHAnsi"/>
              </w:rPr>
              <w:t xml:space="preserve"> Online Homework</w:t>
            </w:r>
          </w:p>
          <w:p w14:paraId="17E90437" w14:textId="77777777" w:rsidR="00AA5AC1" w:rsidRPr="00EC7F4F" w:rsidRDefault="00AA5AC1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EC7F4F">
              <w:rPr>
                <w:rFonts w:asciiTheme="minorHAnsi" w:hAnsiTheme="minorHAnsi"/>
              </w:rPr>
              <w:t>Quizzes</w:t>
            </w:r>
          </w:p>
        </w:tc>
        <w:tc>
          <w:tcPr>
            <w:tcW w:w="1980" w:type="dxa"/>
          </w:tcPr>
          <w:p w14:paraId="61535DD0" w14:textId="77777777" w:rsidR="00AA5AC1" w:rsidRPr="00EC7F4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CB1746" w:rsidRPr="00EC7F4F" w14:paraId="2157B4D9" w14:textId="77777777" w:rsidTr="00EC7F4F">
        <w:tc>
          <w:tcPr>
            <w:tcW w:w="4680" w:type="dxa"/>
          </w:tcPr>
          <w:p w14:paraId="5D7365E3" w14:textId="77777777" w:rsidR="00AA5AC1" w:rsidRPr="00EC7F4F" w:rsidRDefault="00AA5AC1" w:rsidP="00CA45A2">
            <w:pPr>
              <w:pStyle w:val="ListParagraph"/>
              <w:spacing w:after="0" w:line="240" w:lineRule="auto"/>
              <w:ind w:left="72" w:right="36"/>
              <w:rPr>
                <w:rFonts w:asciiTheme="minorHAnsi" w:hAnsiTheme="minorHAnsi"/>
                <w:b/>
                <w:bCs/>
              </w:rPr>
            </w:pPr>
            <w:r w:rsidRPr="00EC7F4F">
              <w:rPr>
                <w:rFonts w:asciiTheme="minorHAnsi" w:hAnsiTheme="minorHAnsi"/>
              </w:rPr>
              <w:t>Students will</w:t>
            </w:r>
            <w:r w:rsidRPr="00EC7F4F">
              <w:rPr>
                <w:rFonts w:asciiTheme="minorHAnsi" w:hAnsiTheme="minorHAnsi" w:cstheme="minorHAnsi"/>
              </w:rPr>
              <w:t xml:space="preserve"> assimilate information, individually or in a group, from a variety of sources to formulate successful study skills and problem solving strategies.</w:t>
            </w:r>
          </w:p>
          <w:p w14:paraId="2F18AA34" w14:textId="77777777" w:rsidR="00AA5AC1" w:rsidRPr="00EC7F4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0466694" w14:textId="77777777" w:rsidR="00AA5AC1" w:rsidRPr="00EC7F4F" w:rsidRDefault="00AA5AC1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Connect Math</w:t>
            </w:r>
            <w:r w:rsidR="00CB1746" w:rsidRPr="00EC7F4F">
              <w:rPr>
                <w:rFonts w:asciiTheme="minorHAnsi" w:hAnsiTheme="minorHAnsi"/>
              </w:rPr>
              <w:t xml:space="preserve"> Online Homework</w:t>
            </w:r>
          </w:p>
          <w:p w14:paraId="07DA25DE" w14:textId="77777777" w:rsidR="00AA5AC1" w:rsidRPr="00EC7F4F" w:rsidRDefault="00AA5AC1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EC7F4F">
              <w:rPr>
                <w:rFonts w:asciiTheme="minorHAnsi" w:hAnsiTheme="minorHAnsi"/>
              </w:rPr>
              <w:t>Quizzes</w:t>
            </w:r>
          </w:p>
        </w:tc>
        <w:tc>
          <w:tcPr>
            <w:tcW w:w="1980" w:type="dxa"/>
          </w:tcPr>
          <w:p w14:paraId="56EB70EA" w14:textId="77777777" w:rsidR="00AA5AC1" w:rsidRPr="00EC7F4F" w:rsidRDefault="00AA5AC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14:paraId="3CC1BBA1" w14:textId="77777777" w:rsidR="00E21A0F" w:rsidRPr="00EC7F4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F47DE4F" w14:textId="77777777" w:rsidR="00F95D67" w:rsidRPr="00EC7F4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Required Text</w:t>
      </w:r>
      <w:r w:rsidR="00EF542D" w:rsidRPr="00EC7F4F">
        <w:rPr>
          <w:rFonts w:asciiTheme="minorHAnsi" w:hAnsiTheme="minorHAnsi"/>
          <w:b/>
          <w:sz w:val="22"/>
          <w:szCs w:val="22"/>
        </w:rPr>
        <w:t>s</w:t>
      </w:r>
      <w:r w:rsidR="004C4C08" w:rsidRPr="00EC7F4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C7F4F">
        <w:rPr>
          <w:rFonts w:asciiTheme="minorHAnsi" w:hAnsiTheme="minorHAnsi"/>
          <w:b/>
          <w:sz w:val="22"/>
          <w:szCs w:val="22"/>
        </w:rPr>
        <w:t>Reading</w:t>
      </w:r>
      <w:r w:rsidR="004C4C08" w:rsidRPr="00EC7F4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C7F4F" w14:paraId="3D5556ED" w14:textId="77777777" w:rsidTr="008613BC">
        <w:tc>
          <w:tcPr>
            <w:tcW w:w="10260" w:type="dxa"/>
          </w:tcPr>
          <w:p w14:paraId="33288033" w14:textId="77777777" w:rsidR="002B24DC" w:rsidRPr="00EC7F4F" w:rsidRDefault="00384E3D" w:rsidP="002B24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  <w:b/>
                <w:i/>
              </w:rPr>
              <w:t>Introductory Algebra</w:t>
            </w:r>
            <w:r w:rsidR="002B24DC" w:rsidRPr="00EC7F4F">
              <w:rPr>
                <w:rFonts w:asciiTheme="minorHAnsi" w:hAnsiTheme="minorHAnsi"/>
                <w:b/>
                <w:i/>
              </w:rPr>
              <w:t>,</w:t>
            </w:r>
            <w:r w:rsidRPr="00EC7F4F">
              <w:rPr>
                <w:rFonts w:asciiTheme="minorHAnsi" w:hAnsiTheme="minorHAnsi"/>
              </w:rPr>
              <w:t xml:space="preserve">  </w:t>
            </w:r>
            <w:r w:rsidR="002B24DC" w:rsidRPr="00EC7F4F">
              <w:rPr>
                <w:rFonts w:asciiTheme="minorHAnsi" w:hAnsiTheme="minorHAnsi"/>
              </w:rPr>
              <w:t xml:space="preserve">2nd Edition, by </w:t>
            </w:r>
            <w:r w:rsidRPr="00EC7F4F">
              <w:rPr>
                <w:rFonts w:asciiTheme="minorHAnsi" w:hAnsiTheme="minorHAnsi"/>
              </w:rPr>
              <w:t>Miller, O’Neil,</w:t>
            </w:r>
            <w:r w:rsidR="002B24DC" w:rsidRPr="00EC7F4F">
              <w:rPr>
                <w:rFonts w:asciiTheme="minorHAnsi" w:hAnsiTheme="minorHAnsi"/>
              </w:rPr>
              <w:t xml:space="preserve"> and</w:t>
            </w:r>
            <w:r w:rsidRPr="00EC7F4F">
              <w:rPr>
                <w:rFonts w:asciiTheme="minorHAnsi" w:hAnsiTheme="minorHAnsi"/>
              </w:rPr>
              <w:t xml:space="preserve"> Hyde</w:t>
            </w:r>
            <w:r w:rsidR="002B24DC" w:rsidRPr="00EC7F4F">
              <w:rPr>
                <w:rFonts w:asciiTheme="minorHAnsi" w:hAnsiTheme="minorHAnsi"/>
              </w:rPr>
              <w:t>, 2009</w:t>
            </w:r>
            <w:r w:rsidRPr="00EC7F4F">
              <w:rPr>
                <w:rFonts w:asciiTheme="minorHAnsi" w:hAnsiTheme="minorHAnsi"/>
              </w:rPr>
              <w:t>. ISBN: 9781259146367</w:t>
            </w:r>
            <w:r w:rsidR="00CB1746" w:rsidRPr="00EC7F4F">
              <w:rPr>
                <w:rFonts w:asciiTheme="minorHAnsi" w:hAnsiTheme="minorHAnsi"/>
              </w:rPr>
              <w:t>. Required.</w:t>
            </w:r>
          </w:p>
          <w:p w14:paraId="33CAF5FA" w14:textId="77777777" w:rsidR="002B24DC" w:rsidRPr="00EC7F4F" w:rsidRDefault="00384E3D" w:rsidP="002B24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  <w:b/>
              </w:rPr>
              <w:t>CONNECT MATH Access Code</w:t>
            </w:r>
            <w:r w:rsidRPr="00EC7F4F">
              <w:rPr>
                <w:rFonts w:asciiTheme="minorHAnsi" w:hAnsiTheme="minorHAnsi"/>
              </w:rPr>
              <w:t xml:space="preserve"> – ISBN: 9780077543754</w:t>
            </w:r>
            <w:r w:rsidR="00CB1746" w:rsidRPr="00EC7F4F">
              <w:rPr>
                <w:rFonts w:asciiTheme="minorHAnsi" w:hAnsiTheme="minorHAnsi"/>
              </w:rPr>
              <w:t>. Required.</w:t>
            </w:r>
          </w:p>
          <w:p w14:paraId="0C4B3C4F" w14:textId="77777777" w:rsidR="00F7497C" w:rsidRPr="00EC7F4F" w:rsidRDefault="002B24DC" w:rsidP="002B24DC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CONNECT MATH: 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 Connect Math is the online homework tool for this course. Access must be purchased 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to meet the requirements for the Connect Math portion of the course.  Students are required to have access to a computer outside of class.</w:t>
            </w:r>
          </w:p>
        </w:tc>
      </w:tr>
    </w:tbl>
    <w:p w14:paraId="0DF48CBB" w14:textId="77777777" w:rsidR="00B915BB" w:rsidRPr="00EC7F4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C7F4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9C7921C" w14:textId="77777777" w:rsidR="00CB1746" w:rsidRPr="00EC7F4F" w:rsidRDefault="00CB1746" w:rsidP="00CB1746">
      <w:pPr>
        <w:widowControl/>
        <w:rPr>
          <w:rFonts w:asciiTheme="minorHAnsi" w:hAnsiTheme="minorHAnsi"/>
          <w:b/>
          <w:sz w:val="22"/>
          <w:szCs w:val="22"/>
        </w:rPr>
      </w:pPr>
    </w:p>
    <w:p w14:paraId="783D3481" w14:textId="77777777" w:rsidR="00CB1746" w:rsidRDefault="004B0524" w:rsidP="00CB1746">
      <w:pPr>
        <w:widowControl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C7F4F">
        <w:rPr>
          <w:rFonts w:asciiTheme="minorHAnsi" w:hAnsiTheme="minorHAnsi"/>
          <w:b/>
          <w:sz w:val="22"/>
          <w:szCs w:val="22"/>
        </w:rPr>
        <w:t xml:space="preserve"> </w:t>
      </w:r>
    </w:p>
    <w:p w14:paraId="5F142E46" w14:textId="77777777" w:rsidR="00EC7F4F" w:rsidRPr="00EC7F4F" w:rsidRDefault="00EC7F4F" w:rsidP="00CB1746">
      <w:pPr>
        <w:widowControl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C7F4F" w14:paraId="6683ED9F" w14:textId="77777777" w:rsidTr="008613BC">
        <w:tc>
          <w:tcPr>
            <w:tcW w:w="10170" w:type="dxa"/>
          </w:tcPr>
          <w:p w14:paraId="2440258C" w14:textId="77777777" w:rsidR="00B174FF" w:rsidRPr="00EC7F4F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EC7F4F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Students will </w:t>
            </w:r>
            <w:r w:rsidRPr="009F07DB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need to </w:t>
            </w:r>
            <w:r w:rsidRPr="009F07DB">
              <w:rPr>
                <w:rStyle w:val="Strong"/>
                <w:rFonts w:asciiTheme="minorHAnsi" w:hAnsiTheme="minorHAnsi" w:cstheme="minorHAnsi"/>
                <w:b w:val="0"/>
                <w:i/>
                <w:lang w:eastAsia="zh-CN"/>
              </w:rPr>
              <w:t xml:space="preserve">work at least 2-4 hours outside of class for every </w:t>
            </w:r>
            <w:proofErr w:type="gramStart"/>
            <w:r w:rsidRPr="009F07DB">
              <w:rPr>
                <w:rStyle w:val="Strong"/>
                <w:rFonts w:asciiTheme="minorHAnsi" w:hAnsiTheme="minorHAnsi" w:cstheme="minorHAnsi"/>
                <w:b w:val="0"/>
                <w:i/>
                <w:lang w:eastAsia="zh-CN"/>
              </w:rPr>
              <w:t>1 hour</w:t>
            </w:r>
            <w:proofErr w:type="gramEnd"/>
            <w:r w:rsidRPr="009F07DB">
              <w:rPr>
                <w:rStyle w:val="Strong"/>
                <w:rFonts w:asciiTheme="minorHAnsi" w:hAnsiTheme="minorHAnsi" w:cstheme="minorHAnsi"/>
                <w:b w:val="0"/>
                <w:i/>
                <w:lang w:eastAsia="zh-CN"/>
              </w:rPr>
              <w:t xml:space="preserve"> spent in class,</w:t>
            </w:r>
            <w:r w:rsidRPr="009F07DB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 studying notes and the textbook, completing homework from</w:t>
            </w:r>
            <w:r w:rsidRPr="00EC7F4F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 the book, and completing assignments in Connect</w:t>
            </w:r>
            <w:r w:rsidR="00CB1746" w:rsidRPr="00EC7F4F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 Math</w:t>
            </w:r>
            <w:r w:rsidRPr="00EC7F4F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 to meet the requirements of the course.  </w:t>
            </w:r>
          </w:p>
          <w:p w14:paraId="4BED37D6" w14:textId="77777777" w:rsidR="00B174FF" w:rsidRPr="00EC7F4F" w:rsidRDefault="00CB1746" w:rsidP="00CB1746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All students are required to take the comprehensive final exam in order to pass the course.</w:t>
            </w:r>
          </w:p>
        </w:tc>
      </w:tr>
    </w:tbl>
    <w:p w14:paraId="6E3FE7A4" w14:textId="77777777" w:rsidR="00DA4E24" w:rsidRPr="00EC7F4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4A67A96" w14:textId="77777777" w:rsidR="00CB1746" w:rsidRPr="00EC7F4F" w:rsidRDefault="00CB1746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1B997A6" w14:textId="77777777" w:rsidR="00CB1746" w:rsidRPr="00EC7F4F" w:rsidRDefault="00CB1746" w:rsidP="00CB1746">
      <w:pPr>
        <w:outlineLvl w:val="0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Tutoring Facilities</w:t>
      </w:r>
    </w:p>
    <w:p w14:paraId="67FB75E6" w14:textId="77777777" w:rsidR="00CB1746" w:rsidRPr="00EC7F4F" w:rsidRDefault="00CB1746" w:rsidP="00CB1746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CB1746" w:rsidRPr="00EC7F4F" w14:paraId="16617B85" w14:textId="77777777" w:rsidTr="00CB1746">
        <w:tc>
          <w:tcPr>
            <w:tcW w:w="10098" w:type="dxa"/>
          </w:tcPr>
          <w:p w14:paraId="34E6D40B" w14:textId="77777777" w:rsidR="00CB1746" w:rsidRPr="00EC7F4F" w:rsidRDefault="00CB1746" w:rsidP="00CB17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Marshall University provides multiple options for </w:t>
            </w:r>
            <w:r w:rsidRPr="009F07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free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on-campus tutoring.  The Mathematics Department tutoring lab is located in in Smith Music Hall 115. The University College has a tutoring lab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</w:t>
            </w:r>
            <w:proofErr w:type="spellStart"/>
            <w:r w:rsidRPr="00EC7F4F">
              <w:rPr>
                <w:rFonts w:asciiTheme="minorHAnsi" w:hAnsiTheme="minorHAnsi" w:cstheme="minorHAnsi"/>
                <w:sz w:val="22"/>
                <w:szCs w:val="22"/>
              </w:rPr>
              <w:t>Laidley</w:t>
            </w:r>
            <w:proofErr w:type="spellEnd"/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Hall</w:t>
            </w:r>
            <w:r w:rsidRPr="00EC7F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It is the student’s responsibility to take advantage of these facilities in addition to utilizing office hours.   For additional information, please see </w:t>
            </w:r>
            <w:r w:rsidRPr="00EC7F4F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http://www.marshall.edu/math/tutoringlab.asp</w:t>
            </w:r>
          </w:p>
        </w:tc>
      </w:tr>
    </w:tbl>
    <w:p w14:paraId="34CC68C5" w14:textId="77777777" w:rsidR="00CB1746" w:rsidRPr="00EC7F4F" w:rsidRDefault="00CB1746" w:rsidP="00CB1746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0DC2409" w14:textId="77777777" w:rsidR="00EC7F4F" w:rsidRDefault="00EC7F4F">
      <w:pPr>
        <w:widowControl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85F3846" w14:textId="77777777" w:rsidR="00EC7F4F" w:rsidRPr="00EA45C8" w:rsidRDefault="00EC7F4F" w:rsidP="00EC7F4F">
      <w:pPr>
        <w:outlineLvl w:val="0"/>
        <w:rPr>
          <w:rFonts w:asciiTheme="minorHAnsi" w:hAnsiTheme="minorHAnsi"/>
          <w:b/>
          <w:sz w:val="22"/>
          <w:szCs w:val="22"/>
        </w:rPr>
      </w:pPr>
      <w:r w:rsidRPr="00EA45C8">
        <w:rPr>
          <w:rFonts w:asciiTheme="minorHAnsi" w:hAnsiTheme="minorHAnsi"/>
          <w:b/>
          <w:sz w:val="22"/>
          <w:szCs w:val="22"/>
        </w:rPr>
        <w:lastRenderedPageBreak/>
        <w:t>In-Class Exam Dates</w:t>
      </w:r>
    </w:p>
    <w:p w14:paraId="37FEA873" w14:textId="77777777" w:rsidR="00EC7F4F" w:rsidRPr="00EA45C8" w:rsidRDefault="00EC7F4F" w:rsidP="00EC7F4F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EC7F4F" w:rsidRPr="00EA45C8" w14:paraId="26671B66" w14:textId="77777777" w:rsidTr="00EC7F4F">
        <w:tc>
          <w:tcPr>
            <w:tcW w:w="10098" w:type="dxa"/>
          </w:tcPr>
          <w:p w14:paraId="3F912782" w14:textId="0D945BCE" w:rsidR="00EC7F4F" w:rsidRPr="00EA45C8" w:rsidRDefault="00EC7F4F" w:rsidP="00EC7F4F">
            <w:pPr>
              <w:pStyle w:val="NoSpacing"/>
              <w:numPr>
                <w:ilvl w:val="0"/>
                <w:numId w:val="28"/>
              </w:numPr>
              <w:rPr>
                <w:rFonts w:cs="Times New Roman"/>
              </w:rPr>
            </w:pPr>
            <w:r w:rsidRPr="00EA45C8">
              <w:rPr>
                <w:rFonts w:cs="Times New Roman"/>
              </w:rPr>
              <w:t>Exam 1:</w:t>
            </w:r>
            <w:r w:rsidR="00BC688E">
              <w:rPr>
                <w:rFonts w:cs="Times New Roman"/>
              </w:rPr>
              <w:t xml:space="preserve"> Wednesday February 18</w:t>
            </w:r>
            <w:r w:rsidR="00BC688E" w:rsidRPr="00BC688E">
              <w:rPr>
                <w:rFonts w:cs="Times New Roman"/>
                <w:vertAlign w:val="superscript"/>
              </w:rPr>
              <w:t>th</w:t>
            </w:r>
            <w:r w:rsidR="00BC688E">
              <w:rPr>
                <w:rFonts w:cs="Times New Roman"/>
              </w:rPr>
              <w:t xml:space="preserve">  </w:t>
            </w:r>
          </w:p>
          <w:p w14:paraId="3EA57700" w14:textId="0F92B240" w:rsidR="00EC7F4F" w:rsidRPr="00EA45C8" w:rsidRDefault="00EC7F4F" w:rsidP="00EC7F4F">
            <w:pPr>
              <w:pStyle w:val="NoSpacing"/>
              <w:numPr>
                <w:ilvl w:val="0"/>
                <w:numId w:val="28"/>
              </w:numPr>
              <w:rPr>
                <w:rFonts w:cs="Times New Roman"/>
              </w:rPr>
            </w:pPr>
            <w:r w:rsidRPr="00EA45C8">
              <w:rPr>
                <w:rFonts w:cs="Times New Roman"/>
              </w:rPr>
              <w:t>Exam 2:</w:t>
            </w:r>
            <w:r w:rsidR="00BC688E">
              <w:rPr>
                <w:rFonts w:cs="Times New Roman"/>
              </w:rPr>
              <w:t xml:space="preserve"> Friday March 20</w:t>
            </w:r>
            <w:r w:rsidR="00BC688E" w:rsidRPr="00BC688E">
              <w:rPr>
                <w:rFonts w:cs="Times New Roman"/>
                <w:vertAlign w:val="superscript"/>
              </w:rPr>
              <w:t>th</w:t>
            </w:r>
            <w:r w:rsidR="00BC688E">
              <w:rPr>
                <w:rFonts w:cs="Times New Roman"/>
              </w:rPr>
              <w:t xml:space="preserve"> </w:t>
            </w:r>
          </w:p>
          <w:p w14:paraId="77B99A73" w14:textId="09CCEE83" w:rsidR="00EC7F4F" w:rsidRPr="00BC688E" w:rsidRDefault="00EC7F4F" w:rsidP="00BC688E">
            <w:pPr>
              <w:pStyle w:val="NoSpacing"/>
              <w:numPr>
                <w:ilvl w:val="0"/>
                <w:numId w:val="28"/>
              </w:numPr>
              <w:rPr>
                <w:rFonts w:cs="Times New Roman"/>
              </w:rPr>
            </w:pPr>
            <w:r w:rsidRPr="00EA45C8">
              <w:rPr>
                <w:rFonts w:cs="Times New Roman"/>
              </w:rPr>
              <w:t>Exam 3:</w:t>
            </w:r>
            <w:r w:rsidR="00BC688E">
              <w:rPr>
                <w:rFonts w:cs="Times New Roman"/>
              </w:rPr>
              <w:t xml:space="preserve"> Friday April 24</w:t>
            </w:r>
            <w:r w:rsidR="00BC688E" w:rsidRPr="00BC688E">
              <w:rPr>
                <w:rFonts w:cs="Times New Roman"/>
                <w:vertAlign w:val="superscript"/>
              </w:rPr>
              <w:t>th</w:t>
            </w:r>
            <w:r w:rsidR="00BC688E">
              <w:rPr>
                <w:rFonts w:cs="Times New Roman"/>
              </w:rPr>
              <w:t xml:space="preserve"> </w:t>
            </w:r>
          </w:p>
        </w:tc>
      </w:tr>
    </w:tbl>
    <w:p w14:paraId="5C92E800" w14:textId="77777777" w:rsidR="00EC7F4F" w:rsidRPr="00EA45C8" w:rsidRDefault="00EC7F4F" w:rsidP="00EC7F4F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ADB40F0" w14:textId="77777777" w:rsidR="00EC7F4F" w:rsidRPr="00EA45C8" w:rsidRDefault="00EC7F4F" w:rsidP="00EC7F4F">
      <w:pPr>
        <w:outlineLvl w:val="0"/>
        <w:rPr>
          <w:rFonts w:asciiTheme="minorHAnsi" w:hAnsiTheme="minorHAnsi"/>
          <w:b/>
          <w:sz w:val="22"/>
          <w:szCs w:val="22"/>
        </w:rPr>
      </w:pPr>
      <w:r w:rsidRPr="00EA45C8">
        <w:rPr>
          <w:rFonts w:asciiTheme="minorHAnsi" w:hAnsiTheme="minorHAnsi"/>
          <w:b/>
          <w:sz w:val="22"/>
          <w:szCs w:val="22"/>
        </w:rPr>
        <w:t>Final Exam</w:t>
      </w:r>
    </w:p>
    <w:p w14:paraId="1856F11C" w14:textId="77777777" w:rsidR="00EC7F4F" w:rsidRPr="00EA45C8" w:rsidRDefault="00EC7F4F" w:rsidP="00EC7F4F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EC7F4F" w:rsidRPr="00EA45C8" w14:paraId="0FCFE0F3" w14:textId="77777777" w:rsidTr="00EC7F4F">
        <w:tc>
          <w:tcPr>
            <w:tcW w:w="10098" w:type="dxa"/>
          </w:tcPr>
          <w:p w14:paraId="5A6C824E" w14:textId="77777777" w:rsidR="00EC7F4F" w:rsidRPr="00EA45C8" w:rsidRDefault="00EC7F4F" w:rsidP="00EC7F4F">
            <w:pPr>
              <w:pStyle w:val="NoSpacing"/>
              <w:rPr>
                <w:rFonts w:cs="Times New Roman"/>
              </w:rPr>
            </w:pPr>
            <w:r w:rsidRPr="00EA45C8">
              <w:rPr>
                <w:rFonts w:cs="Times New Roman"/>
              </w:rPr>
              <w:t>The MTH 09</w:t>
            </w:r>
            <w:r>
              <w:rPr>
                <w:rFonts w:cs="Times New Roman"/>
              </w:rPr>
              <w:t>9</w:t>
            </w:r>
            <w:r w:rsidRPr="00EA45C8">
              <w:rPr>
                <w:rFonts w:cs="Times New Roman"/>
              </w:rPr>
              <w:t xml:space="preserve"> Common Final Exam will be held on </w:t>
            </w:r>
            <w:r w:rsidRPr="00EC7F4F">
              <w:rPr>
                <w:rFonts w:cs="Times New Roman"/>
                <w:b/>
              </w:rPr>
              <w:t>Saturday, May 2 at 2:00 p.</w:t>
            </w:r>
            <w:r w:rsidRPr="009F07DB">
              <w:rPr>
                <w:rFonts w:cs="Times New Roman"/>
                <w:b/>
              </w:rPr>
              <w:t>m.</w:t>
            </w:r>
            <w:r w:rsidRPr="009F07DB">
              <w:rPr>
                <w:rFonts w:cs="Times New Roman"/>
              </w:rPr>
              <w:t xml:space="preserve"> The</w:t>
            </w:r>
            <w:r w:rsidRPr="00EA45C8">
              <w:rPr>
                <w:rFonts w:cs="Times New Roman"/>
              </w:rPr>
              <w:t xml:space="preserve"> location will be announced before the exam date.</w:t>
            </w:r>
          </w:p>
        </w:tc>
      </w:tr>
    </w:tbl>
    <w:p w14:paraId="34F5925C" w14:textId="77777777" w:rsidR="00EC7F4F" w:rsidRPr="00EA45C8" w:rsidRDefault="00EC7F4F" w:rsidP="00EC7F4F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4BFCA338" w14:textId="77777777" w:rsidR="00EC7F4F" w:rsidRDefault="00EC7F4F" w:rsidP="00CB1746">
      <w:pPr>
        <w:widowControl/>
        <w:rPr>
          <w:rFonts w:asciiTheme="minorHAnsi" w:hAnsiTheme="minorHAnsi"/>
          <w:b/>
          <w:sz w:val="22"/>
          <w:szCs w:val="22"/>
        </w:rPr>
      </w:pPr>
    </w:p>
    <w:p w14:paraId="360E8658" w14:textId="77777777" w:rsidR="00DA4E24" w:rsidRPr="00EC7F4F" w:rsidRDefault="00CB1746" w:rsidP="00CB1746">
      <w:pPr>
        <w:widowControl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G</w:t>
      </w:r>
      <w:r w:rsidR="00DA4E24" w:rsidRPr="00EC7F4F">
        <w:rPr>
          <w:rFonts w:asciiTheme="minorHAnsi" w:hAnsiTheme="minorHAnsi"/>
          <w:b/>
          <w:sz w:val="22"/>
          <w:szCs w:val="22"/>
        </w:rPr>
        <w:t>rading Policy</w:t>
      </w:r>
    </w:p>
    <w:p w14:paraId="6644A021" w14:textId="77777777" w:rsidR="00CB1746" w:rsidRPr="00EC7F4F" w:rsidRDefault="00CB1746" w:rsidP="00CB1746">
      <w:pPr>
        <w:widowControl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229"/>
      </w:tblGrid>
      <w:tr w:rsidR="00DA4E24" w:rsidRPr="00EC7F4F" w14:paraId="340414CF" w14:textId="77777777" w:rsidTr="00CA2DB0">
        <w:tc>
          <w:tcPr>
            <w:tcW w:w="10098" w:type="dxa"/>
          </w:tcPr>
          <w:p w14:paraId="71BFFABC" w14:textId="77777777" w:rsidR="002B24DC" w:rsidRPr="00EC7F4F" w:rsidRDefault="002B24DC" w:rsidP="002B24DC">
            <w:pPr>
              <w:pStyle w:val="NoSpacing"/>
              <w:rPr>
                <w:rFonts w:cs="Times New Roman"/>
              </w:rPr>
            </w:pPr>
            <w:r w:rsidRPr="00EC7F4F">
              <w:rPr>
                <w:rFonts w:cs="Times New Roman"/>
              </w:rPr>
              <w:t>The course grade is determined by the number of points earned in each of the following categories:</w:t>
            </w:r>
          </w:p>
          <w:p w14:paraId="6D02FBF3" w14:textId="77777777" w:rsidR="00B174FF" w:rsidRPr="00EC7F4F" w:rsidRDefault="00B174FF" w:rsidP="00B174F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B174FF" w:rsidRPr="00EC7F4F" w14:paraId="43245953" w14:textId="77777777" w:rsidTr="00CB1746">
              <w:tc>
                <w:tcPr>
                  <w:tcW w:w="3078" w:type="dxa"/>
                  <w:vAlign w:val="bottom"/>
                </w:tcPr>
                <w:p w14:paraId="26888AA5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14:paraId="5F3BAF09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14:paraId="0FB6D6F8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7461B4BE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FD641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77EB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B174FF" w:rsidRPr="00EC7F4F" w14:paraId="164FCDB1" w14:textId="77777777" w:rsidTr="00CB1746">
              <w:tc>
                <w:tcPr>
                  <w:tcW w:w="3078" w:type="dxa"/>
                  <w:vAlign w:val="bottom"/>
                </w:tcPr>
                <w:p w14:paraId="64838ECE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14:paraId="260A63E2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77A68FEB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4BEC1AC3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965D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3A5E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B174FF" w:rsidRPr="00EC7F4F" w14:paraId="39DFEDE9" w14:textId="77777777" w:rsidTr="00CB1746">
              <w:tc>
                <w:tcPr>
                  <w:tcW w:w="3078" w:type="dxa"/>
                  <w:vAlign w:val="bottom"/>
                </w:tcPr>
                <w:p w14:paraId="0E92B2DB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14:paraId="2CE42DD6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48BF4003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6C0781B0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2B87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DE24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75% or higher overall</w:t>
                  </w:r>
                </w:p>
              </w:tc>
            </w:tr>
            <w:tr w:rsidR="00B174FF" w:rsidRPr="00EC7F4F" w14:paraId="78CB8874" w14:textId="77777777" w:rsidTr="00CB1746">
              <w:tc>
                <w:tcPr>
                  <w:tcW w:w="3078" w:type="dxa"/>
                  <w:vAlign w:val="bottom"/>
                </w:tcPr>
                <w:p w14:paraId="5EB6CD86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14:paraId="25F76B44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1FDAE486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200</w:t>
                  </w:r>
                  <w:r w:rsidR="00CB1746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</w:t>
                  </w: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2B7DB3D6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8D357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65BB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Less than 75% overall</w:t>
                  </w:r>
                </w:p>
              </w:tc>
            </w:tr>
            <w:tr w:rsidR="00B174FF" w:rsidRPr="00EC7F4F" w14:paraId="61DDDD6A" w14:textId="77777777" w:rsidTr="00CB1746">
              <w:tc>
                <w:tcPr>
                  <w:tcW w:w="3078" w:type="dxa"/>
                  <w:vAlign w:val="bottom"/>
                </w:tcPr>
                <w:p w14:paraId="333EBBF5" w14:textId="77777777" w:rsidR="00CB1746" w:rsidRPr="00EC7F4F" w:rsidRDefault="00CB1746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Other Assessments </w:t>
                  </w:r>
                </w:p>
                <w:p w14:paraId="08BD7C8D" w14:textId="77777777" w:rsidR="00B174FF" w:rsidRPr="00EC7F4F" w:rsidRDefault="00CB1746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(quizzes, written homework, attendance, etc.)</w:t>
                  </w:r>
                </w:p>
              </w:tc>
              <w:tc>
                <w:tcPr>
                  <w:tcW w:w="1440" w:type="dxa"/>
                </w:tcPr>
                <w:p w14:paraId="685FD8D4" w14:textId="77777777" w:rsidR="00B174FF" w:rsidRPr="00EC7F4F" w:rsidRDefault="00CB1746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1350" w:type="dxa"/>
                </w:tcPr>
                <w:p w14:paraId="400E3247" w14:textId="77777777" w:rsidR="00B174FF" w:rsidRPr="00EC7F4F" w:rsidRDefault="00CB1746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200</w:t>
                  </w:r>
                  <w:r w:rsidR="00B174FF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0</w:t>
                  </w: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</w:t>
                  </w:r>
                  <w:r w:rsidR="00B174FF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7BABB1E5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91CF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702A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B174FF" w:rsidRPr="00EC7F4F" w14:paraId="6F3159EB" w14:textId="77777777" w:rsidTr="00CB1746">
              <w:tc>
                <w:tcPr>
                  <w:tcW w:w="3078" w:type="dxa"/>
                  <w:vAlign w:val="bottom"/>
                </w:tcPr>
                <w:p w14:paraId="17840367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E833C5E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vAlign w:val="bottom"/>
                </w:tcPr>
                <w:p w14:paraId="4BAFB398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2E89B911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BC3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78D4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B174FF" w:rsidRPr="00EC7F4F" w14:paraId="258A6572" w14:textId="77777777" w:rsidTr="00CB1746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14:paraId="535384C8" w14:textId="77777777" w:rsidR="00B174FF" w:rsidRPr="00EC7F4F" w:rsidRDefault="002B24DC" w:rsidP="002B24DC">
                  <w:pPr>
                    <w:jc w:val="right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Overall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14:paraId="4619C299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14:paraId="654B4E88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1510A747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098A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B631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962929E" w14:textId="77777777" w:rsidR="00B174FF" w:rsidRPr="00EC7F4F" w:rsidRDefault="00B174FF" w:rsidP="00B174F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EC7F4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14:paraId="659F86D2" w14:textId="77777777" w:rsidR="00F7497C" w:rsidRPr="00EC7F4F" w:rsidRDefault="00B174FF" w:rsidP="002B24DC">
            <w:pPr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Students are required to take the comprehensive final exam in order to </w:t>
            </w:r>
            <w:r w:rsidR="002B24DC" w:rsidRPr="00EC7F4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receive credit for</w:t>
            </w:r>
            <w:r w:rsidRPr="00EC7F4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the course.</w:t>
            </w:r>
          </w:p>
        </w:tc>
      </w:tr>
    </w:tbl>
    <w:p w14:paraId="1B9F1FF8" w14:textId="77777777" w:rsidR="002C2389" w:rsidRPr="00EC7F4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429A2D9B" w14:textId="77777777" w:rsidR="002C2389" w:rsidRPr="00EC7F4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Attendance</w:t>
      </w:r>
      <w:r w:rsidR="00B222AE" w:rsidRPr="00EC7F4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2C2389" w:rsidRPr="00EC7F4F" w14:paraId="0FD6061A" w14:textId="77777777" w:rsidTr="002C2389">
        <w:tc>
          <w:tcPr>
            <w:tcW w:w="9990" w:type="dxa"/>
          </w:tcPr>
          <w:p w14:paraId="2FD47C36" w14:textId="77777777" w:rsidR="00CB1746" w:rsidRPr="00EC7F4F" w:rsidRDefault="00CB1746" w:rsidP="00CB1746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EC7F4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 xml:space="preserve">Attendance is necessary for the successful completion of this course. Each student is expected to arrive on time each day, and to be prepared for class.  </w:t>
            </w:r>
          </w:p>
          <w:p w14:paraId="05ADE27C" w14:textId="77777777" w:rsidR="00CB1746" w:rsidRPr="00EC7F4F" w:rsidRDefault="00CB1746" w:rsidP="00CB1746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14:paraId="7AD671BB" w14:textId="77777777" w:rsidR="004C1F79" w:rsidRPr="00EC7F4F" w:rsidRDefault="00CB1746" w:rsidP="00CB1746">
            <w:pPr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s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tudent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may have an absence officially excused at the Office of Student Affairs, Memorial Student Center MSC 2W38.  </w:t>
            </w:r>
            <w:r w:rsidRPr="00EC7F4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>A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ny unexcused absence on the day of an exam will result in a score of zero.  </w:t>
            </w:r>
            <w:r w:rsidRPr="00EC7F4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 xml:space="preserve"> O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nly an excused absence will warrant a make-up exam, which will be scheduled during Dead Week.  Attendance is also factored into the final grade.</w:t>
            </w:r>
          </w:p>
        </w:tc>
      </w:tr>
    </w:tbl>
    <w:p w14:paraId="20B4CDF7" w14:textId="77777777" w:rsidR="002C2389" w:rsidRPr="00EC7F4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C7F4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534E5140" w14:textId="77777777" w:rsidR="002C2389" w:rsidRPr="00EC7F4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7E8FD9E4" w14:textId="77777777" w:rsidR="00F312DD" w:rsidRPr="00EC7F4F" w:rsidRDefault="00F312DD" w:rsidP="00F312DD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Calculator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F312DD" w:rsidRPr="00EC7F4F" w14:paraId="7282BE34" w14:textId="77777777" w:rsidTr="00CB1746">
        <w:tc>
          <w:tcPr>
            <w:tcW w:w="9990" w:type="dxa"/>
          </w:tcPr>
          <w:p w14:paraId="6FA6F144" w14:textId="2F80F127" w:rsidR="00F312DD" w:rsidRPr="00EC7F4F" w:rsidRDefault="00011ED9" w:rsidP="00CB17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Calculators may be used on assignments at the discretion of the instructor. It will be made clear, in advance, whether a calculator may be used on any assignment, quiz, or exam.</w:t>
            </w:r>
          </w:p>
        </w:tc>
      </w:tr>
    </w:tbl>
    <w:p w14:paraId="1CC7BE83" w14:textId="77777777" w:rsidR="00CB1746" w:rsidRPr="00EC7F4F" w:rsidRDefault="00CB1746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260569A6" w14:textId="77777777" w:rsidR="00BC688E" w:rsidRDefault="00BC688E" w:rsidP="00CB174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8B2DB66" w14:textId="77777777" w:rsidR="00BC688E" w:rsidRDefault="00BC688E" w:rsidP="00CB174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14DE6365" w14:textId="77777777" w:rsidR="00BC688E" w:rsidRDefault="00BC688E" w:rsidP="00CB174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5E4778A" w14:textId="77777777" w:rsidR="00CB1746" w:rsidRPr="00EC7F4F" w:rsidRDefault="00CB1746" w:rsidP="00CB174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lastRenderedPageBreak/>
        <w:t>Course Schedule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220"/>
        <w:gridCol w:w="1960"/>
        <w:gridCol w:w="1960"/>
        <w:gridCol w:w="1960"/>
        <w:gridCol w:w="1960"/>
      </w:tblGrid>
      <w:tr w:rsidR="00BC688E" w:rsidRPr="00BC688E" w14:paraId="65A7451F" w14:textId="77777777" w:rsidTr="00BC688E">
        <w:trPr>
          <w:trHeight w:val="5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7D1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9953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C0F1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DBC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74A3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Saturday</w:t>
            </w:r>
          </w:p>
        </w:tc>
      </w:tr>
      <w:tr w:rsidR="00BC688E" w:rsidRPr="00BC688E" w14:paraId="16AC68FC" w14:textId="77777777" w:rsidTr="00BC688E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139CFD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7A70D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49087B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D73EF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981D64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385B7DB7" w14:textId="77777777" w:rsidTr="00BC688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580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1/11 - 1/17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40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Syllabus Review                R.1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8DE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R.2, R.3, R.4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E349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1.1, 1.2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0633B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283A20B3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2A090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06736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860E03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D4499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1881D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652C6496" w14:textId="77777777" w:rsidTr="00BC688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35B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1/18 - 1/24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7A4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MLK Day No Class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FCF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1.3, 1.4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5D4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1.5, 1.6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16CE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3586F2FD" w14:textId="77777777" w:rsidTr="00BC688E">
        <w:trPr>
          <w:trHeight w:val="5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1BB9F0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1/25 - 1/31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B9182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E0ACF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596CC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AF0CB2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05485BCF" w14:textId="77777777" w:rsidTr="00BC688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A429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2/1 - 2/7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80F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2.1, 2.2, 2.3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69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2.4, 2.6, 2.8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866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3.1, 3.2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2B93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0E49F472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F6CC2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0381C2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95DE2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78163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F947F2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1F77EE19" w14:textId="77777777" w:rsidTr="00BC688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1A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2/8 - 2/14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3039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3.3, 3.4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D8E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3.5, 3.6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890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3.7, 4.5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D5C874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051C909D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F5F46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ADB330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C012E1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A0FE6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4DA0B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70ECCD25" w14:textId="77777777" w:rsidTr="00BC688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69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2/15 - 2/21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1BF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Review for Exam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26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1 (Ch. 1-3)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FD9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5.1, 5.2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8597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68A439F7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86F72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C496F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E06EF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E403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C25E31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427BEA4D" w14:textId="77777777" w:rsidTr="00BC688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37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2/22 - 2/28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A3F0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5.3, 5.4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019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5.5, 5.6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915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5.7, 6.1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C72C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512BB735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853A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0F0D8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86F3A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3DE79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EA863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071F9BA3" w14:textId="77777777" w:rsidTr="00BC688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542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3/1 - 3/7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01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6.2, 6.3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129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6.4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4030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6.5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F59A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6D5DF48A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27DA0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BA52E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0BDB83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F0F7C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5E2FD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586E5DE5" w14:textId="77777777" w:rsidTr="00BC688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3D21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3/8 - 3/14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50384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Spring Break No Class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4A15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5FD5D108" w14:textId="77777777" w:rsidTr="00BC688E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150B8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93FF8" w14:textId="77777777" w:rsidR="00BC688E" w:rsidRPr="00BC688E" w:rsidRDefault="00BC688E" w:rsidP="00BC688E">
            <w:pPr>
              <w:widowControl/>
              <w:rPr>
                <w:rFonts w:ascii="Calibri" w:hAnsi="Calibri"/>
                <w:snapToGrid/>
                <w:color w:val="FF0000"/>
                <w:sz w:val="22"/>
                <w:szCs w:val="22"/>
              </w:rPr>
            </w:pPr>
            <w:r w:rsidRPr="00BC688E">
              <w:rPr>
                <w:rFonts w:ascii="Calibri" w:hAnsi="Calibri"/>
                <w:snapToGrid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7F0D3" w14:textId="77777777" w:rsidR="00BC688E" w:rsidRPr="00BC688E" w:rsidRDefault="00BC688E" w:rsidP="00BC688E">
            <w:pPr>
              <w:widowControl/>
              <w:rPr>
                <w:rFonts w:ascii="Calibri" w:hAnsi="Calibri"/>
                <w:snapToGrid/>
                <w:color w:val="FF0000"/>
                <w:sz w:val="22"/>
                <w:szCs w:val="22"/>
              </w:rPr>
            </w:pPr>
            <w:r w:rsidRPr="00BC688E">
              <w:rPr>
                <w:rFonts w:ascii="Calibri" w:hAnsi="Calibri"/>
                <w:snapToGrid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E9F6D" w14:textId="77777777" w:rsidR="00BC688E" w:rsidRPr="00BC688E" w:rsidRDefault="00BC688E" w:rsidP="00BC688E">
            <w:pPr>
              <w:widowControl/>
              <w:rPr>
                <w:rFonts w:ascii="Calibri" w:hAnsi="Calibri"/>
                <w:snapToGrid/>
                <w:color w:val="FF0000"/>
                <w:sz w:val="22"/>
                <w:szCs w:val="22"/>
              </w:rPr>
            </w:pPr>
            <w:r w:rsidRPr="00BC688E">
              <w:rPr>
                <w:rFonts w:ascii="Calibri" w:hAnsi="Calibri"/>
                <w:snapToGrid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E6EB1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37B26E21" w14:textId="77777777" w:rsidTr="00BC688E">
        <w:trPr>
          <w:trHeight w:val="6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0D8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3/15 - 3/21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C3EB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6.7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D9F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Review for Exam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09DD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2 (Ch. 5-6)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A260B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2B9DC475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37C4A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80EEC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54F82B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C18C72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35D0F4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31222FC8" w14:textId="77777777" w:rsidTr="00BC688E">
        <w:trPr>
          <w:trHeight w:val="6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F99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3/22 - 3/28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9A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7.1, 7.2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3CFB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7.3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242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7.3, 7.4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65C422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2505A6CE" w14:textId="77777777" w:rsidTr="00BC688E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8FE6E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9AA85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395C82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9EE2E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74C06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57B744BC" w14:textId="77777777" w:rsidTr="00BC688E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2DE" w14:textId="77777777" w:rsid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</w:p>
          <w:p w14:paraId="6633CD3F" w14:textId="77777777" w:rsid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</w:p>
          <w:p w14:paraId="6C55D87A" w14:textId="77777777" w:rsid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</w:p>
          <w:p w14:paraId="1B11E444" w14:textId="77777777" w:rsid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3/29 - 4/4</w:t>
            </w:r>
          </w:p>
          <w:p w14:paraId="1701B86E" w14:textId="77777777" w:rsidR="00BC688E" w:rsidRDefault="00BC688E" w:rsidP="00BC688E">
            <w:pPr>
              <w:widowControl/>
              <w:rPr>
                <w:rFonts w:ascii="Cambria" w:hAnsi="Cambria"/>
                <w:snapToGrid/>
                <w:color w:val="000000"/>
                <w:sz w:val="20"/>
              </w:rPr>
            </w:pPr>
          </w:p>
          <w:p w14:paraId="64DCE49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075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7.4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F7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7.6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F8B9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Review Ch.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7940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10263A53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D4B8D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lastRenderedPageBreak/>
              <w:t>Week 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C4DB9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28F982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F8DF5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9D1B1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0587E2EB" w14:textId="77777777" w:rsidTr="00BC688E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F5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4/5 - 4/11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BE0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8.1, 8.2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C67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8.3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BEB7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8.4, 8.5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53324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3F2664C7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9082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5A44D0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0EC372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6CA4C4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99718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757789FB" w14:textId="77777777" w:rsidTr="00BC688E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F48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4/12 - 4/18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5E11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8.6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48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Review Ch. 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3CD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9.1, 9.3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4B243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6EA2F0D3" w14:textId="77777777" w:rsidTr="00BC688E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F553A1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95FB44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D526E3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419B5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F25B3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41287DA6" w14:textId="77777777" w:rsidTr="00BC688E">
        <w:trPr>
          <w:trHeight w:val="50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BB5F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4/19 - 4/25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1AE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7.6, 8.6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FA33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Review for Exam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32EB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3 (Ch. 7-9)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C4AA4" w14:textId="77777777" w:rsidR="00BC688E" w:rsidRPr="00BC688E" w:rsidRDefault="00BC688E" w:rsidP="00BC688E">
            <w:pPr>
              <w:widowControl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BC688E" w:rsidRPr="00BC688E" w14:paraId="0620ADCD" w14:textId="77777777" w:rsidTr="00BC688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691DC0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7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0A71D6C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041D28E8" w14:textId="77777777" w:rsidTr="00BC688E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44BA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4/26 - 5/2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05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Review for Final              Make-up exams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D8F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Review for Final              Make-up exams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7BE3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snapToGrid/>
                <w:color w:val="000000"/>
                <w:szCs w:val="24"/>
              </w:rPr>
              <w:t>Review for Final              Make-up exams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597CB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Common Final Exam for MTH 099</w:t>
            </w:r>
          </w:p>
        </w:tc>
      </w:tr>
      <w:tr w:rsidR="00BC688E" w:rsidRPr="00BC688E" w14:paraId="111827C9" w14:textId="77777777" w:rsidTr="00BC688E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B6FDCE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33CA83" w14:textId="77777777" w:rsidR="00BC688E" w:rsidRPr="00BC688E" w:rsidRDefault="00BC688E" w:rsidP="00BC688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ECD509" w14:textId="77777777" w:rsidR="00BC688E" w:rsidRPr="00BC688E" w:rsidRDefault="00BC688E" w:rsidP="00BC688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B5A51F" w14:textId="77777777" w:rsidR="00BC688E" w:rsidRPr="00BC688E" w:rsidRDefault="00BC688E" w:rsidP="00BC688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8C4AA3" w14:textId="77777777" w:rsidR="00BC688E" w:rsidRPr="00BC688E" w:rsidRDefault="00BC688E" w:rsidP="00BC688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C688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C688E" w:rsidRPr="00BC688E" w14:paraId="4A28561B" w14:textId="77777777" w:rsidTr="00BC688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8F5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C688E">
              <w:rPr>
                <w:rFonts w:ascii="Cambria" w:hAnsi="Cambria"/>
                <w:snapToGrid/>
                <w:color w:val="000000"/>
                <w:sz w:val="20"/>
              </w:rPr>
              <w:t>5/3 - 5/9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8F06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8"/>
                <w:szCs w:val="28"/>
              </w:rPr>
            </w:pPr>
            <w:r w:rsidRPr="00BC688E">
              <w:rPr>
                <w:rFonts w:ascii="Cambria" w:hAnsi="Cambria"/>
                <w:snapToGrid/>
                <w:color w:val="000000"/>
                <w:sz w:val="28"/>
                <w:szCs w:val="28"/>
              </w:rPr>
              <w:t>FINAL EXAMS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2A1DD" w14:textId="77777777" w:rsidR="00BC688E" w:rsidRPr="00BC688E" w:rsidRDefault="00BC688E" w:rsidP="00BC688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C688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</w:tbl>
    <w:p w14:paraId="0B1257FD" w14:textId="77777777" w:rsidR="00CB1746" w:rsidRPr="00EC7F4F" w:rsidRDefault="00CB1746">
      <w:pPr>
        <w:widowControl/>
        <w:rPr>
          <w:rFonts w:asciiTheme="minorHAnsi" w:hAnsiTheme="minorHAnsi"/>
          <w:b/>
          <w:sz w:val="22"/>
          <w:szCs w:val="22"/>
          <w:u w:val="single"/>
        </w:rPr>
      </w:pPr>
    </w:p>
    <w:sectPr w:rsidR="00CB1746" w:rsidRPr="00EC7F4F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C7D4A" w14:textId="77777777" w:rsidR="00BC688E" w:rsidRDefault="00BC688E">
      <w:r>
        <w:separator/>
      </w:r>
    </w:p>
  </w:endnote>
  <w:endnote w:type="continuationSeparator" w:id="0">
    <w:p w14:paraId="230DE625" w14:textId="77777777" w:rsidR="00BC688E" w:rsidRDefault="00BC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FDC91" w14:textId="77777777" w:rsidR="00BC688E" w:rsidRDefault="00BC688E">
    <w:pPr>
      <w:spacing w:line="240" w:lineRule="exact"/>
    </w:pPr>
  </w:p>
  <w:p w14:paraId="08FD682B" w14:textId="77777777" w:rsidR="00BC688E" w:rsidRDefault="00BC688E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24DC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C91E3A7" w14:textId="77777777" w:rsidR="00BC688E" w:rsidRDefault="00BC688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20C47" w14:textId="77777777" w:rsidR="00BC688E" w:rsidRDefault="00BC688E">
    <w:pPr>
      <w:spacing w:line="240" w:lineRule="exact"/>
    </w:pPr>
  </w:p>
  <w:p w14:paraId="3E4DEB8A" w14:textId="77777777" w:rsidR="00BC688E" w:rsidRDefault="00BC688E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24DC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4E51EEC4" w14:textId="77777777" w:rsidR="00BC688E" w:rsidRDefault="00BC688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62ECB" w14:textId="77777777" w:rsidR="00BC688E" w:rsidRDefault="00BC688E">
      <w:r>
        <w:separator/>
      </w:r>
    </w:p>
  </w:footnote>
  <w:footnote w:type="continuationSeparator" w:id="0">
    <w:p w14:paraId="07BFF79A" w14:textId="77777777" w:rsidR="00BC688E" w:rsidRDefault="00BC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327F"/>
    <w:multiLevelType w:val="hybridMultilevel"/>
    <w:tmpl w:val="D25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466BFB"/>
    <w:multiLevelType w:val="hybridMultilevel"/>
    <w:tmpl w:val="6F5A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809EA"/>
    <w:multiLevelType w:val="hybridMultilevel"/>
    <w:tmpl w:val="FE3ABE4A"/>
    <w:lvl w:ilvl="0" w:tplc="60D8D1E0">
      <w:start w:val="1"/>
      <w:numFmt w:val="decimal"/>
      <w:lvlText w:val="%1."/>
      <w:lvlJc w:val="left"/>
      <w:pPr>
        <w:ind w:left="4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5"/>
  </w:num>
  <w:num w:numId="5">
    <w:abstractNumId w:val="16"/>
  </w:num>
  <w:num w:numId="6">
    <w:abstractNumId w:val="26"/>
  </w:num>
  <w:num w:numId="7">
    <w:abstractNumId w:val="21"/>
  </w:num>
  <w:num w:numId="8">
    <w:abstractNumId w:val="18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27"/>
  </w:num>
  <w:num w:numId="14">
    <w:abstractNumId w:val="8"/>
  </w:num>
  <w:num w:numId="15">
    <w:abstractNumId w:val="1"/>
  </w:num>
  <w:num w:numId="16">
    <w:abstractNumId w:val="5"/>
  </w:num>
  <w:num w:numId="17">
    <w:abstractNumId w:val="23"/>
  </w:num>
  <w:num w:numId="18">
    <w:abstractNumId w:val="19"/>
  </w:num>
  <w:num w:numId="19">
    <w:abstractNumId w:val="22"/>
  </w:num>
  <w:num w:numId="20">
    <w:abstractNumId w:val="0"/>
  </w:num>
  <w:num w:numId="21">
    <w:abstractNumId w:val="3"/>
  </w:num>
  <w:num w:numId="22">
    <w:abstractNumId w:val="20"/>
  </w:num>
  <w:num w:numId="23">
    <w:abstractNumId w:val="6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66B1"/>
    <w:rsid w:val="00011369"/>
    <w:rsid w:val="00011ED9"/>
    <w:rsid w:val="00024A3A"/>
    <w:rsid w:val="000256FD"/>
    <w:rsid w:val="00026343"/>
    <w:rsid w:val="000537B0"/>
    <w:rsid w:val="000622CA"/>
    <w:rsid w:val="000659ED"/>
    <w:rsid w:val="00067AEF"/>
    <w:rsid w:val="00072B15"/>
    <w:rsid w:val="00092B27"/>
    <w:rsid w:val="00092EEB"/>
    <w:rsid w:val="000A1B9E"/>
    <w:rsid w:val="000B6E27"/>
    <w:rsid w:val="000B705F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24DC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75C1A"/>
    <w:rsid w:val="00381039"/>
    <w:rsid w:val="00384E3D"/>
    <w:rsid w:val="003870C9"/>
    <w:rsid w:val="00395A3D"/>
    <w:rsid w:val="003A017F"/>
    <w:rsid w:val="003B7956"/>
    <w:rsid w:val="003C26F8"/>
    <w:rsid w:val="003C6852"/>
    <w:rsid w:val="003E0A8A"/>
    <w:rsid w:val="003E10F5"/>
    <w:rsid w:val="003E34E2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A3B84"/>
    <w:rsid w:val="004B0524"/>
    <w:rsid w:val="004B497D"/>
    <w:rsid w:val="004B4B2F"/>
    <w:rsid w:val="004B569E"/>
    <w:rsid w:val="004C1F79"/>
    <w:rsid w:val="004C4C08"/>
    <w:rsid w:val="004C6B5B"/>
    <w:rsid w:val="004D3676"/>
    <w:rsid w:val="004D6215"/>
    <w:rsid w:val="004D6D6E"/>
    <w:rsid w:val="004E119F"/>
    <w:rsid w:val="004E3BA0"/>
    <w:rsid w:val="004E6D91"/>
    <w:rsid w:val="00530724"/>
    <w:rsid w:val="00534071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1C1C"/>
    <w:rsid w:val="00585D04"/>
    <w:rsid w:val="0058798D"/>
    <w:rsid w:val="00591654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2111"/>
    <w:rsid w:val="006333E1"/>
    <w:rsid w:val="00635F0F"/>
    <w:rsid w:val="00637401"/>
    <w:rsid w:val="00641681"/>
    <w:rsid w:val="006475D3"/>
    <w:rsid w:val="00650344"/>
    <w:rsid w:val="0066032B"/>
    <w:rsid w:val="00665857"/>
    <w:rsid w:val="00670AB2"/>
    <w:rsid w:val="00674872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97988"/>
    <w:rsid w:val="008A0F86"/>
    <w:rsid w:val="008A261B"/>
    <w:rsid w:val="008B289E"/>
    <w:rsid w:val="008D05D8"/>
    <w:rsid w:val="008E55D8"/>
    <w:rsid w:val="008E6EE1"/>
    <w:rsid w:val="00904029"/>
    <w:rsid w:val="00921789"/>
    <w:rsid w:val="00924DC2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9F07DB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3DBC"/>
    <w:rsid w:val="00A95AB3"/>
    <w:rsid w:val="00AA5AC1"/>
    <w:rsid w:val="00AC34B0"/>
    <w:rsid w:val="00AD137D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174FF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688E"/>
    <w:rsid w:val="00BC7106"/>
    <w:rsid w:val="00BC7A16"/>
    <w:rsid w:val="00BE308E"/>
    <w:rsid w:val="00BF4431"/>
    <w:rsid w:val="00C04F78"/>
    <w:rsid w:val="00C07200"/>
    <w:rsid w:val="00C14835"/>
    <w:rsid w:val="00C23E59"/>
    <w:rsid w:val="00C63D80"/>
    <w:rsid w:val="00C65E3C"/>
    <w:rsid w:val="00C84B57"/>
    <w:rsid w:val="00C91A85"/>
    <w:rsid w:val="00CA2DB0"/>
    <w:rsid w:val="00CA45A2"/>
    <w:rsid w:val="00CA7B3B"/>
    <w:rsid w:val="00CB1746"/>
    <w:rsid w:val="00CE12FC"/>
    <w:rsid w:val="00CF3CB3"/>
    <w:rsid w:val="00D016BF"/>
    <w:rsid w:val="00D379E9"/>
    <w:rsid w:val="00D434AC"/>
    <w:rsid w:val="00D4419B"/>
    <w:rsid w:val="00D50E0F"/>
    <w:rsid w:val="00D5775A"/>
    <w:rsid w:val="00D81F27"/>
    <w:rsid w:val="00D8625E"/>
    <w:rsid w:val="00D916FF"/>
    <w:rsid w:val="00DA0766"/>
    <w:rsid w:val="00DA4E24"/>
    <w:rsid w:val="00DA62DE"/>
    <w:rsid w:val="00DC2327"/>
    <w:rsid w:val="00DD42D5"/>
    <w:rsid w:val="00DD4C0F"/>
    <w:rsid w:val="00DF0DF7"/>
    <w:rsid w:val="00E0641A"/>
    <w:rsid w:val="00E21782"/>
    <w:rsid w:val="00E21A0F"/>
    <w:rsid w:val="00E25420"/>
    <w:rsid w:val="00E52323"/>
    <w:rsid w:val="00E57F9F"/>
    <w:rsid w:val="00E71921"/>
    <w:rsid w:val="00E76BBC"/>
    <w:rsid w:val="00E7717A"/>
    <w:rsid w:val="00E91946"/>
    <w:rsid w:val="00E923E5"/>
    <w:rsid w:val="00E96EB9"/>
    <w:rsid w:val="00EC3ED4"/>
    <w:rsid w:val="00EC7F4F"/>
    <w:rsid w:val="00ED0976"/>
    <w:rsid w:val="00ED1A24"/>
    <w:rsid w:val="00ED4924"/>
    <w:rsid w:val="00EF542D"/>
    <w:rsid w:val="00EF639F"/>
    <w:rsid w:val="00F050DB"/>
    <w:rsid w:val="00F26E7F"/>
    <w:rsid w:val="00F3023D"/>
    <w:rsid w:val="00F312DD"/>
    <w:rsid w:val="00F344EA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B66DE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178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84E3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4F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84E3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4F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academic-affairs" TargetMode="External"/><Relationship Id="rId9" Type="http://schemas.openxmlformats.org/officeDocument/2006/relationships/hyperlink" Target="http://www.marshall.edu/academic-affairs/?page_id=802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6670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Jacob Fischer</cp:lastModifiedBy>
  <cp:revision>3</cp:revision>
  <cp:lastPrinted>2015-01-12T12:16:00Z</cp:lastPrinted>
  <dcterms:created xsi:type="dcterms:W3CDTF">2015-01-12T12:44:00Z</dcterms:created>
  <dcterms:modified xsi:type="dcterms:W3CDTF">2015-01-21T14:20:00Z</dcterms:modified>
</cp:coreProperties>
</file>