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69" w:rsidRPr="000C309A" w:rsidRDefault="00771E69" w:rsidP="00771E69">
      <w:pPr>
        <w:pStyle w:val="NoSpacing"/>
        <w:jc w:val="center"/>
        <w:rPr>
          <w:b/>
        </w:rPr>
      </w:pPr>
      <w:r w:rsidRPr="000C309A">
        <w:rPr>
          <w:b/>
        </w:rPr>
        <w:t>Marshall University</w:t>
      </w:r>
    </w:p>
    <w:p w:rsidR="00771E69" w:rsidRPr="000C309A" w:rsidRDefault="00771E69" w:rsidP="00771E69">
      <w:pPr>
        <w:pStyle w:val="NoSpacing"/>
        <w:jc w:val="center"/>
        <w:rPr>
          <w:b/>
        </w:rPr>
      </w:pPr>
      <w:r w:rsidRPr="000C309A">
        <w:rPr>
          <w:b/>
        </w:rPr>
        <w:t>Syllabus</w:t>
      </w:r>
      <w:r w:rsidR="007F31AE">
        <w:rPr>
          <w:b/>
        </w:rPr>
        <w:t xml:space="preserve"> Template</w:t>
      </w:r>
    </w:p>
    <w:p w:rsidR="00771E69" w:rsidRDefault="00771E69" w:rsidP="00771E69">
      <w:pPr>
        <w:pStyle w:val="NoSpacing"/>
        <w:jc w:val="center"/>
      </w:pPr>
    </w:p>
    <w:tbl>
      <w:tblPr>
        <w:tblStyle w:val="TableGrid"/>
        <w:tblW w:w="0" w:type="auto"/>
        <w:tblLook w:val="04A0" w:firstRow="1" w:lastRow="0" w:firstColumn="1" w:lastColumn="0" w:noHBand="0" w:noVBand="1"/>
      </w:tblPr>
      <w:tblGrid>
        <w:gridCol w:w="2178"/>
        <w:gridCol w:w="7398"/>
      </w:tblGrid>
      <w:tr w:rsidR="00771E69" w:rsidRPr="00911133" w:rsidTr="00771E69">
        <w:tc>
          <w:tcPr>
            <w:tcW w:w="2178" w:type="dxa"/>
          </w:tcPr>
          <w:p w:rsidR="00771E69" w:rsidRPr="00911133" w:rsidRDefault="00771E69" w:rsidP="00771E69">
            <w:pPr>
              <w:pStyle w:val="NoSpacing"/>
              <w:rPr>
                <w:b/>
              </w:rPr>
            </w:pPr>
            <w:r w:rsidRPr="00911133">
              <w:rPr>
                <w:b/>
              </w:rPr>
              <w:t>Course Title/Number</w:t>
            </w:r>
          </w:p>
        </w:tc>
        <w:tc>
          <w:tcPr>
            <w:tcW w:w="7398" w:type="dxa"/>
          </w:tcPr>
          <w:p w:rsidR="00F71F15" w:rsidRPr="00F71F15" w:rsidRDefault="00911133" w:rsidP="00F71F15">
            <w:pPr>
              <w:pStyle w:val="Title"/>
              <w:jc w:val="left"/>
              <w:rPr>
                <w:rFonts w:asciiTheme="minorHAnsi" w:hAnsiTheme="minorHAnsi"/>
                <w:sz w:val="22"/>
                <w:szCs w:val="22"/>
              </w:rPr>
            </w:pPr>
            <w:r w:rsidRPr="00F71F15">
              <w:rPr>
                <w:rFonts w:asciiTheme="minorHAnsi" w:hAnsiTheme="minorHAnsi" w:cs="Arial"/>
                <w:sz w:val="22"/>
                <w:szCs w:val="22"/>
              </w:rPr>
              <w:t xml:space="preserve">Mathematical Concepts and Applications (CT)    </w:t>
            </w:r>
            <w:r w:rsidRPr="00F71F15">
              <w:rPr>
                <w:rFonts w:asciiTheme="minorHAnsi" w:hAnsiTheme="minorHAnsi"/>
                <w:sz w:val="22"/>
                <w:szCs w:val="22"/>
              </w:rPr>
              <w:t>MTH 121 – 202   CRN 4085</w:t>
            </w:r>
          </w:p>
        </w:tc>
      </w:tr>
      <w:tr w:rsidR="00771E69" w:rsidTr="00771E69">
        <w:tc>
          <w:tcPr>
            <w:tcW w:w="2178" w:type="dxa"/>
          </w:tcPr>
          <w:p w:rsidR="00771E69" w:rsidRPr="00DC3DFA" w:rsidRDefault="00771E69" w:rsidP="00771E69">
            <w:pPr>
              <w:pStyle w:val="NoSpacing"/>
              <w:rPr>
                <w:b/>
              </w:rPr>
            </w:pPr>
            <w:r w:rsidRPr="00DC3DFA">
              <w:rPr>
                <w:b/>
              </w:rPr>
              <w:t>Semester/Year</w:t>
            </w:r>
          </w:p>
        </w:tc>
        <w:tc>
          <w:tcPr>
            <w:tcW w:w="7398" w:type="dxa"/>
          </w:tcPr>
          <w:p w:rsidR="00771E69" w:rsidRDefault="00911133" w:rsidP="00771E69">
            <w:pPr>
              <w:pStyle w:val="NoSpacing"/>
            </w:pPr>
            <w:r>
              <w:t>Spring 2015</w:t>
            </w:r>
          </w:p>
        </w:tc>
      </w:tr>
      <w:tr w:rsidR="00771E69" w:rsidTr="00771E69">
        <w:tc>
          <w:tcPr>
            <w:tcW w:w="2178" w:type="dxa"/>
          </w:tcPr>
          <w:p w:rsidR="00771E69" w:rsidRPr="00DC3DFA" w:rsidRDefault="00771E69" w:rsidP="00771E69">
            <w:pPr>
              <w:pStyle w:val="NoSpacing"/>
              <w:rPr>
                <w:b/>
              </w:rPr>
            </w:pPr>
            <w:r w:rsidRPr="00DC3DFA">
              <w:rPr>
                <w:b/>
              </w:rPr>
              <w:t>Days/Time</w:t>
            </w:r>
          </w:p>
        </w:tc>
        <w:tc>
          <w:tcPr>
            <w:tcW w:w="7398" w:type="dxa"/>
          </w:tcPr>
          <w:p w:rsidR="00771E69" w:rsidRDefault="00911133" w:rsidP="00771E69">
            <w:pPr>
              <w:pStyle w:val="NoSpacing"/>
            </w:pPr>
            <w:r>
              <w:t xml:space="preserve">MWF  </w:t>
            </w:r>
            <w:r w:rsidRPr="00911133">
              <w:t xml:space="preserve">10:00 – 10:50 am   </w:t>
            </w:r>
          </w:p>
        </w:tc>
      </w:tr>
      <w:tr w:rsidR="00771E69" w:rsidTr="00771E69">
        <w:tc>
          <w:tcPr>
            <w:tcW w:w="2178" w:type="dxa"/>
          </w:tcPr>
          <w:p w:rsidR="00771E69" w:rsidRPr="00DC3DFA" w:rsidRDefault="00771E69" w:rsidP="00771E69">
            <w:pPr>
              <w:pStyle w:val="NoSpacing"/>
              <w:rPr>
                <w:b/>
              </w:rPr>
            </w:pPr>
            <w:r w:rsidRPr="00DC3DFA">
              <w:rPr>
                <w:b/>
              </w:rPr>
              <w:t>Location</w:t>
            </w:r>
          </w:p>
        </w:tc>
        <w:tc>
          <w:tcPr>
            <w:tcW w:w="7398" w:type="dxa"/>
          </w:tcPr>
          <w:p w:rsidR="00771E69" w:rsidRDefault="00911133" w:rsidP="00771E69">
            <w:pPr>
              <w:pStyle w:val="NoSpacing"/>
            </w:pPr>
            <w:r>
              <w:t>CH436</w:t>
            </w:r>
          </w:p>
        </w:tc>
      </w:tr>
      <w:tr w:rsidR="00E50080" w:rsidTr="00771E69">
        <w:tc>
          <w:tcPr>
            <w:tcW w:w="2178" w:type="dxa"/>
          </w:tcPr>
          <w:p w:rsidR="00E50080" w:rsidRPr="00DC3DFA" w:rsidRDefault="00E50080" w:rsidP="00771E69">
            <w:pPr>
              <w:pStyle w:val="NoSpacing"/>
              <w:rPr>
                <w:b/>
              </w:rPr>
            </w:pPr>
            <w:r w:rsidRPr="00DC3DFA">
              <w:rPr>
                <w:b/>
              </w:rPr>
              <w:t>Instructor</w:t>
            </w:r>
          </w:p>
        </w:tc>
        <w:tc>
          <w:tcPr>
            <w:tcW w:w="7398" w:type="dxa"/>
          </w:tcPr>
          <w:p w:rsidR="00E50080" w:rsidRDefault="00911133">
            <w:r>
              <w:t>Ms. Tracy Marsh</w:t>
            </w:r>
          </w:p>
        </w:tc>
      </w:tr>
      <w:tr w:rsidR="00E50080" w:rsidTr="00771E69">
        <w:tc>
          <w:tcPr>
            <w:tcW w:w="2178" w:type="dxa"/>
          </w:tcPr>
          <w:p w:rsidR="00E50080" w:rsidRPr="00DC3DFA" w:rsidRDefault="00E50080" w:rsidP="00771E69">
            <w:pPr>
              <w:pStyle w:val="NoSpacing"/>
              <w:rPr>
                <w:b/>
              </w:rPr>
            </w:pPr>
            <w:r w:rsidRPr="00DC3DFA">
              <w:rPr>
                <w:b/>
              </w:rPr>
              <w:t>Office</w:t>
            </w:r>
          </w:p>
        </w:tc>
        <w:tc>
          <w:tcPr>
            <w:tcW w:w="7398" w:type="dxa"/>
          </w:tcPr>
          <w:p w:rsidR="00E50080" w:rsidRDefault="00911133">
            <w:r>
              <w:t>SH 526A</w:t>
            </w:r>
          </w:p>
        </w:tc>
      </w:tr>
      <w:tr w:rsidR="00E50080" w:rsidTr="00771E69">
        <w:tc>
          <w:tcPr>
            <w:tcW w:w="2178" w:type="dxa"/>
          </w:tcPr>
          <w:p w:rsidR="00E50080" w:rsidRPr="00DC3DFA" w:rsidRDefault="00E50080" w:rsidP="00771E69">
            <w:pPr>
              <w:pStyle w:val="NoSpacing"/>
              <w:rPr>
                <w:b/>
              </w:rPr>
            </w:pPr>
            <w:r w:rsidRPr="00DC3DFA">
              <w:rPr>
                <w:b/>
              </w:rPr>
              <w:t>Phone</w:t>
            </w:r>
          </w:p>
        </w:tc>
        <w:tc>
          <w:tcPr>
            <w:tcW w:w="7398" w:type="dxa"/>
          </w:tcPr>
          <w:p w:rsidR="00E50080" w:rsidRDefault="00911133">
            <w:r>
              <w:t xml:space="preserve">(304) 696 – </w:t>
            </w:r>
            <w:r w:rsidRPr="006F5DFA">
              <w:rPr>
                <w:rFonts w:cstheme="minorHAnsi"/>
                <w:bCs/>
              </w:rPr>
              <w:t>3016</w:t>
            </w:r>
            <w:r>
              <w:t xml:space="preserve">    </w:t>
            </w:r>
          </w:p>
        </w:tc>
      </w:tr>
      <w:tr w:rsidR="00E50080" w:rsidTr="00771E69">
        <w:tc>
          <w:tcPr>
            <w:tcW w:w="2178" w:type="dxa"/>
          </w:tcPr>
          <w:p w:rsidR="00E50080" w:rsidRPr="00DC3DFA" w:rsidRDefault="00E50080" w:rsidP="00771E69">
            <w:pPr>
              <w:pStyle w:val="NoSpacing"/>
              <w:rPr>
                <w:b/>
              </w:rPr>
            </w:pPr>
            <w:r w:rsidRPr="00DC3DFA">
              <w:rPr>
                <w:b/>
              </w:rPr>
              <w:t>E-Mail</w:t>
            </w:r>
          </w:p>
        </w:tc>
        <w:tc>
          <w:tcPr>
            <w:tcW w:w="7398" w:type="dxa"/>
          </w:tcPr>
          <w:p w:rsidR="00E50080" w:rsidRDefault="00911133">
            <w:r>
              <w:t>Marsh9@marsall.edu</w:t>
            </w:r>
          </w:p>
        </w:tc>
      </w:tr>
      <w:tr w:rsidR="00E50080" w:rsidTr="00771E69">
        <w:tc>
          <w:tcPr>
            <w:tcW w:w="2178" w:type="dxa"/>
          </w:tcPr>
          <w:p w:rsidR="00E50080" w:rsidRPr="00DC3DFA" w:rsidRDefault="00E50080" w:rsidP="00771E69">
            <w:pPr>
              <w:pStyle w:val="NoSpacing"/>
              <w:rPr>
                <w:b/>
              </w:rPr>
            </w:pPr>
            <w:r w:rsidRPr="00DC3DFA">
              <w:rPr>
                <w:b/>
              </w:rPr>
              <w:t>Office Hours</w:t>
            </w:r>
          </w:p>
        </w:tc>
        <w:tc>
          <w:tcPr>
            <w:tcW w:w="7398" w:type="dxa"/>
          </w:tcPr>
          <w:p w:rsidR="00E50080" w:rsidRDefault="00911133">
            <w:r>
              <w:t>T R  9 am</w:t>
            </w:r>
            <w:r w:rsidRPr="00DC113D">
              <w:t xml:space="preserve"> – 1</w:t>
            </w:r>
            <w:r>
              <w:t>2 p</w:t>
            </w:r>
            <w:r w:rsidRPr="00DC113D">
              <w:t>m</w:t>
            </w:r>
          </w:p>
        </w:tc>
      </w:tr>
      <w:tr w:rsidR="00771E69" w:rsidTr="00771E69">
        <w:tc>
          <w:tcPr>
            <w:tcW w:w="2178" w:type="dxa"/>
          </w:tcPr>
          <w:p w:rsidR="00771E69" w:rsidRPr="00DC3DFA" w:rsidRDefault="00771E69" w:rsidP="00771E69">
            <w:pPr>
              <w:pStyle w:val="NoSpacing"/>
              <w:rPr>
                <w:b/>
              </w:rPr>
            </w:pPr>
            <w:r w:rsidRPr="00DC3DFA">
              <w:rPr>
                <w:b/>
              </w:rPr>
              <w:t>University Policies</w:t>
            </w:r>
          </w:p>
        </w:tc>
        <w:tc>
          <w:tcPr>
            <w:tcW w:w="7398" w:type="dxa"/>
          </w:tcPr>
          <w:p w:rsidR="00771E69" w:rsidRDefault="00771E69" w:rsidP="00771E6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 xml:space="preserve">Course Description: </w:t>
      </w:r>
    </w:p>
    <w:tbl>
      <w:tblPr>
        <w:tblStyle w:val="TableGrid"/>
        <w:tblW w:w="0" w:type="auto"/>
        <w:tblLook w:val="04A0" w:firstRow="1" w:lastRow="0" w:firstColumn="1" w:lastColumn="0" w:noHBand="0" w:noVBand="1"/>
      </w:tblPr>
      <w:tblGrid>
        <w:gridCol w:w="9576"/>
      </w:tblGrid>
      <w:tr w:rsidR="00771E69" w:rsidTr="00771E69">
        <w:tc>
          <w:tcPr>
            <w:tcW w:w="9576" w:type="dxa"/>
          </w:tcPr>
          <w:p w:rsidR="007F31AE" w:rsidRPr="00911133" w:rsidRDefault="00911133" w:rsidP="00911133">
            <w:pPr>
              <w:rPr>
                <w:rFonts w:cs="Clearface-Regular-DTC"/>
              </w:rPr>
            </w:pPr>
            <w:r w:rsidRPr="004F1DA4">
              <w:rPr>
                <w:rFonts w:cs="Clearface-Regular-DTC"/>
              </w:rPr>
              <w:t xml:space="preserve">Critical thinking course for non-science majors that </w:t>
            </w:r>
            <w:r>
              <w:rPr>
                <w:rFonts w:cs="Clearface-Regular-DTC"/>
              </w:rPr>
              <w:t xml:space="preserve">continues developing </w:t>
            </w:r>
            <w:r w:rsidRPr="004F1DA4">
              <w:rPr>
                <w:rFonts w:cs="Clearface-Regular-DTC"/>
              </w:rPr>
              <w:t>quantitative reasoning skills</w:t>
            </w:r>
            <w:r>
              <w:rPr>
                <w:rFonts w:cs="Clearface-Regular-DTC"/>
              </w:rPr>
              <w:t xml:space="preserve"> from Quantway I</w:t>
            </w:r>
            <w:r w:rsidRPr="004F1DA4">
              <w:rPr>
                <w:rFonts w:cs="Clearface-Regular-DTC"/>
              </w:rPr>
              <w:t>. Topics include logical thinking, problem solving, linear modeling, beginning statistics and probability, exponential and logarithmic modeling, and financial concepts.</w:t>
            </w:r>
          </w:p>
        </w:tc>
      </w:tr>
    </w:tbl>
    <w:p w:rsidR="00771E69" w:rsidRDefault="00771E69" w:rsidP="00771E69">
      <w:pPr>
        <w:pStyle w:val="NoSpacing"/>
      </w:pPr>
    </w:p>
    <w:p w:rsidR="005624BB" w:rsidRPr="005624BB" w:rsidRDefault="005624BB" w:rsidP="005624BB">
      <w:pPr>
        <w:pStyle w:val="NoSpacing"/>
        <w:rPr>
          <w:b/>
        </w:rPr>
      </w:pPr>
      <w:r w:rsidRPr="005624BB">
        <w:rPr>
          <w:b/>
          <w:bCs/>
        </w:rPr>
        <w:t>After completing the course, the student will be</w:t>
      </w:r>
      <w:r w:rsidRPr="005624BB">
        <w:rPr>
          <w:b/>
        </w:rPr>
        <w:t xml:space="preserve"> familiar with the specific</w:t>
      </w:r>
      <w:r>
        <w:rPr>
          <w:b/>
        </w:rPr>
        <w:t xml:space="preserve"> </w:t>
      </w:r>
      <w:r w:rsidRPr="005624BB">
        <w:rPr>
          <w:b/>
        </w:rPr>
        <w:t xml:space="preserve">background and critical thinking skills needed to understand the major issues they will face in life.  Specifically: </w:t>
      </w:r>
    </w:p>
    <w:tbl>
      <w:tblPr>
        <w:tblStyle w:val="TableGrid"/>
        <w:tblW w:w="0" w:type="auto"/>
        <w:tblLook w:val="04A0" w:firstRow="1" w:lastRow="0" w:firstColumn="1" w:lastColumn="0" w:noHBand="0" w:noVBand="1"/>
      </w:tblPr>
      <w:tblGrid>
        <w:gridCol w:w="4428"/>
        <w:gridCol w:w="2250"/>
        <w:gridCol w:w="2898"/>
      </w:tblGrid>
      <w:tr w:rsidR="00771E69" w:rsidTr="000D027D">
        <w:tc>
          <w:tcPr>
            <w:tcW w:w="4428" w:type="dxa"/>
          </w:tcPr>
          <w:p w:rsidR="00771E69" w:rsidRPr="00771E69" w:rsidRDefault="00771E69" w:rsidP="00771E69">
            <w:pPr>
              <w:pStyle w:val="NoSpacing"/>
              <w:rPr>
                <w:b/>
              </w:rPr>
            </w:pPr>
            <w:r w:rsidRPr="00771E69">
              <w:rPr>
                <w:b/>
              </w:rPr>
              <w:t>Course student learning outcomes</w:t>
            </w:r>
          </w:p>
        </w:tc>
        <w:tc>
          <w:tcPr>
            <w:tcW w:w="2250" w:type="dxa"/>
          </w:tcPr>
          <w:p w:rsidR="00771E69" w:rsidRPr="008C39A8" w:rsidRDefault="00771E69" w:rsidP="005624BB">
            <w:pPr>
              <w:pStyle w:val="NoSpacing"/>
              <w:rPr>
                <w:b/>
              </w:rPr>
            </w:pPr>
            <w:r w:rsidRPr="008C39A8">
              <w:rPr>
                <w:b/>
              </w:rPr>
              <w:t xml:space="preserve">How </w:t>
            </w:r>
            <w:r w:rsidR="005624BB">
              <w:rPr>
                <w:b/>
              </w:rPr>
              <w:t>you</w:t>
            </w:r>
            <w:r w:rsidRPr="008C39A8">
              <w:rPr>
                <w:b/>
              </w:rPr>
              <w:t xml:space="preserve"> will practice each outcome in this course</w:t>
            </w:r>
          </w:p>
        </w:tc>
        <w:tc>
          <w:tcPr>
            <w:tcW w:w="2898" w:type="dxa"/>
          </w:tcPr>
          <w:p w:rsidR="00771E69" w:rsidRPr="00771E69" w:rsidRDefault="00771E69" w:rsidP="00771E69">
            <w:pPr>
              <w:pStyle w:val="NoSpacing"/>
              <w:rPr>
                <w:b/>
              </w:rPr>
            </w:pPr>
            <w:r w:rsidRPr="00771E69">
              <w:rPr>
                <w:b/>
              </w:rPr>
              <w:t>How student achievement of each outcome will be assessed in this course</w:t>
            </w:r>
          </w:p>
        </w:tc>
      </w:tr>
      <w:tr w:rsidR="00FB7C26" w:rsidTr="000D027D">
        <w:tc>
          <w:tcPr>
            <w:tcW w:w="4428" w:type="dxa"/>
          </w:tcPr>
          <w:p w:rsidR="00FB7C26" w:rsidRPr="00FB7C26" w:rsidRDefault="007F31AE" w:rsidP="005624BB">
            <w:pPr>
              <w:pStyle w:val="NoSpacing"/>
            </w:pPr>
            <w:r>
              <w:t>Students will</w:t>
            </w:r>
            <w:r w:rsidR="005624BB">
              <w:t xml:space="preserve"> </w:t>
            </w:r>
            <w:r w:rsidR="005624BB" w:rsidRPr="008C39A8">
              <w:rPr>
                <w:rFonts w:eastAsia="Times New Roman"/>
              </w:rPr>
              <w:t>develop strong critical and logical thinking skills to navigate the media and be an informed citizen.</w:t>
            </w:r>
          </w:p>
        </w:tc>
        <w:tc>
          <w:tcPr>
            <w:tcW w:w="2250" w:type="dxa"/>
          </w:tcPr>
          <w:p w:rsidR="00DC3DFA" w:rsidRPr="008C39A8" w:rsidRDefault="005624BB" w:rsidP="00771E69">
            <w:pPr>
              <w:pStyle w:val="NoSpacing"/>
              <w:rPr>
                <w:highlight w:val="yellow"/>
              </w:rPr>
            </w:pPr>
            <w:r w:rsidRPr="008C39A8">
              <w:t>Homework, classwork</w:t>
            </w:r>
          </w:p>
        </w:tc>
        <w:tc>
          <w:tcPr>
            <w:tcW w:w="2898" w:type="dxa"/>
          </w:tcPr>
          <w:p w:rsidR="00FB7C26" w:rsidRPr="007F31AE" w:rsidRDefault="008C39A8" w:rsidP="005624BB">
            <w:pPr>
              <w:pStyle w:val="NoSpacing"/>
              <w:rPr>
                <w:highlight w:val="yellow"/>
              </w:rPr>
            </w:pPr>
            <w:r w:rsidRPr="008C39A8">
              <w:t>Homework, tests</w:t>
            </w:r>
          </w:p>
        </w:tc>
      </w:tr>
      <w:tr w:rsidR="00771E69" w:rsidTr="000D027D">
        <w:tc>
          <w:tcPr>
            <w:tcW w:w="4428" w:type="dxa"/>
          </w:tcPr>
          <w:p w:rsidR="00771E69" w:rsidRDefault="007F31AE" w:rsidP="00771E69">
            <w:pPr>
              <w:pStyle w:val="NoSpacing"/>
            </w:pPr>
            <w:r>
              <w:t>Students will</w:t>
            </w:r>
            <w:r w:rsidR="005624BB">
              <w:t xml:space="preserve"> </w:t>
            </w:r>
            <w:r w:rsidR="005624BB" w:rsidRPr="008C39A8">
              <w:rPr>
                <w:rFonts w:eastAsia="Times New Roman"/>
              </w:rPr>
              <w:t>Students should have a strong number sense and be proficient in estimation so they can put numbers from the news into a context that makes them understandable.</w:t>
            </w:r>
          </w:p>
        </w:tc>
        <w:tc>
          <w:tcPr>
            <w:tcW w:w="2250" w:type="dxa"/>
          </w:tcPr>
          <w:p w:rsidR="00DC3DFA" w:rsidRPr="008C39A8" w:rsidRDefault="000D027D" w:rsidP="00771E69">
            <w:pPr>
              <w:pStyle w:val="NoSpacing"/>
            </w:pPr>
            <w:r w:rsidRPr="008C39A8">
              <w:t>Homework, classwork</w:t>
            </w:r>
          </w:p>
        </w:tc>
        <w:tc>
          <w:tcPr>
            <w:tcW w:w="2898" w:type="dxa"/>
          </w:tcPr>
          <w:p w:rsidR="00771E69" w:rsidRDefault="008C39A8" w:rsidP="005624BB">
            <w:pPr>
              <w:pStyle w:val="NoSpacing"/>
            </w:pPr>
            <w:r w:rsidRPr="008C39A8">
              <w:t xml:space="preserve">Homework, </w:t>
            </w:r>
            <w:r w:rsidR="00625C8E">
              <w:t xml:space="preserve">project, </w:t>
            </w:r>
            <w:r w:rsidRPr="008C39A8">
              <w:t>tests</w:t>
            </w:r>
          </w:p>
        </w:tc>
      </w:tr>
      <w:tr w:rsidR="00771E69" w:rsidTr="000D027D">
        <w:tc>
          <w:tcPr>
            <w:tcW w:w="4428" w:type="dxa"/>
          </w:tcPr>
          <w:p w:rsidR="00771E69" w:rsidRDefault="007F31AE" w:rsidP="00771E69">
            <w:pPr>
              <w:pStyle w:val="NoSpacing"/>
            </w:pPr>
            <w:r>
              <w:t>Students will</w:t>
            </w:r>
            <w:r w:rsidR="005624BB">
              <w:t xml:space="preserve"> </w:t>
            </w:r>
            <w:r w:rsidR="005624BB" w:rsidRPr="008C39A8">
              <w:rPr>
                <w:rFonts w:eastAsia="Times New Roman"/>
              </w:rPr>
              <w:t>be able to read news reports of statistical studies in a way that allows them to evaluated them critically and decide whether they should affect their personal beliefs.</w:t>
            </w:r>
          </w:p>
        </w:tc>
        <w:tc>
          <w:tcPr>
            <w:tcW w:w="2250" w:type="dxa"/>
          </w:tcPr>
          <w:p w:rsidR="00DC3DFA" w:rsidRPr="008C39A8" w:rsidRDefault="000D027D" w:rsidP="00771E69">
            <w:pPr>
              <w:pStyle w:val="NoSpacing"/>
            </w:pPr>
            <w:r w:rsidRPr="008C39A8">
              <w:t>Homework, classwork</w:t>
            </w:r>
          </w:p>
        </w:tc>
        <w:tc>
          <w:tcPr>
            <w:tcW w:w="2898" w:type="dxa"/>
          </w:tcPr>
          <w:p w:rsidR="00771E69" w:rsidRDefault="000D027D" w:rsidP="00D402CD">
            <w:pPr>
              <w:pStyle w:val="NoSpacing"/>
            </w:pPr>
            <w:r w:rsidRPr="008C39A8">
              <w:t>Homework, tests</w:t>
            </w:r>
          </w:p>
        </w:tc>
      </w:tr>
      <w:tr w:rsidR="00771E69" w:rsidTr="000D027D">
        <w:tc>
          <w:tcPr>
            <w:tcW w:w="4428" w:type="dxa"/>
          </w:tcPr>
          <w:p w:rsidR="00771E69" w:rsidRDefault="007F31AE" w:rsidP="00771E69">
            <w:pPr>
              <w:pStyle w:val="NoSpacing"/>
            </w:pPr>
            <w:r>
              <w:t>Students will</w:t>
            </w:r>
            <w:r w:rsidR="000D027D">
              <w:t xml:space="preserve"> </w:t>
            </w:r>
            <w:r w:rsidR="000D027D" w:rsidRPr="008C39A8">
              <w:rPr>
                <w:rFonts w:eastAsia="Times New Roman"/>
              </w:rPr>
              <w:t>be familiar with basic ideas of probability and risk, and be aware of the impact on their lives.</w:t>
            </w:r>
          </w:p>
        </w:tc>
        <w:tc>
          <w:tcPr>
            <w:tcW w:w="2250" w:type="dxa"/>
          </w:tcPr>
          <w:p w:rsidR="00DC3DFA" w:rsidRPr="008C39A8" w:rsidRDefault="000D027D" w:rsidP="00771E69">
            <w:pPr>
              <w:pStyle w:val="NoSpacing"/>
            </w:pPr>
            <w:r w:rsidRPr="008C39A8">
              <w:t>Homework, classwork</w:t>
            </w:r>
          </w:p>
        </w:tc>
        <w:tc>
          <w:tcPr>
            <w:tcW w:w="2898" w:type="dxa"/>
          </w:tcPr>
          <w:p w:rsidR="00771E69" w:rsidRDefault="000D027D" w:rsidP="00771E69">
            <w:pPr>
              <w:pStyle w:val="NoSpacing"/>
            </w:pPr>
            <w:r w:rsidRPr="008C39A8">
              <w:t>Homework, tests</w:t>
            </w:r>
          </w:p>
        </w:tc>
      </w:tr>
      <w:tr w:rsidR="00771E69" w:rsidTr="000D027D">
        <w:tc>
          <w:tcPr>
            <w:tcW w:w="4428" w:type="dxa"/>
          </w:tcPr>
          <w:p w:rsidR="00771E69" w:rsidRDefault="007F31AE" w:rsidP="00771E69">
            <w:pPr>
              <w:pStyle w:val="NoSpacing"/>
              <w:rPr>
                <w:rFonts w:eastAsia="Times New Roman"/>
              </w:rPr>
            </w:pPr>
            <w:r>
              <w:t>Students will</w:t>
            </w:r>
            <w:r w:rsidR="000D027D">
              <w:t xml:space="preserve"> </w:t>
            </w:r>
            <w:r w:rsidR="000D027D" w:rsidRPr="008C39A8">
              <w:rPr>
                <w:rFonts w:eastAsia="Times New Roman"/>
              </w:rPr>
              <w:t>possess the mathematical tools needed to make basic financial decisions.</w:t>
            </w:r>
          </w:p>
          <w:p w:rsidR="00625C8E" w:rsidRDefault="00625C8E" w:rsidP="00771E69">
            <w:pPr>
              <w:pStyle w:val="NoSpacing"/>
            </w:pPr>
          </w:p>
        </w:tc>
        <w:tc>
          <w:tcPr>
            <w:tcW w:w="2250" w:type="dxa"/>
          </w:tcPr>
          <w:p w:rsidR="00771E69" w:rsidRPr="008C39A8" w:rsidRDefault="000D027D" w:rsidP="00771E69">
            <w:pPr>
              <w:pStyle w:val="NoSpacing"/>
            </w:pPr>
            <w:r w:rsidRPr="008C39A8">
              <w:t>Homework, classwork</w:t>
            </w:r>
          </w:p>
        </w:tc>
        <w:tc>
          <w:tcPr>
            <w:tcW w:w="2898" w:type="dxa"/>
          </w:tcPr>
          <w:p w:rsidR="00771E69" w:rsidRDefault="000D027D" w:rsidP="00771E69">
            <w:pPr>
              <w:pStyle w:val="NoSpacing"/>
            </w:pPr>
            <w:r w:rsidRPr="008C39A8">
              <w:t xml:space="preserve">Homework, </w:t>
            </w:r>
            <w:r w:rsidR="00625C8E">
              <w:t xml:space="preserve">project, </w:t>
            </w:r>
            <w:r w:rsidRPr="008C39A8">
              <w:t>tests</w:t>
            </w:r>
          </w:p>
        </w:tc>
      </w:tr>
      <w:tr w:rsidR="008C39A8" w:rsidTr="000D027D">
        <w:tc>
          <w:tcPr>
            <w:tcW w:w="4428" w:type="dxa"/>
          </w:tcPr>
          <w:p w:rsidR="008C39A8" w:rsidRDefault="008C39A8" w:rsidP="00771E69">
            <w:pPr>
              <w:pStyle w:val="NoSpacing"/>
            </w:pPr>
            <w:r>
              <w:lastRenderedPageBreak/>
              <w:t>Students will</w:t>
            </w:r>
            <w:r w:rsidR="000D027D">
              <w:t xml:space="preserve"> </w:t>
            </w:r>
            <w:r w:rsidR="000D027D" w:rsidRPr="008C39A8">
              <w:rPr>
                <w:rFonts w:eastAsia="Times New Roman"/>
              </w:rPr>
              <w:t>understand how mathematics helps them study important social issues, such as the growth of populations, the depletion of resources, and the extermination of flora and fauna.</w:t>
            </w:r>
          </w:p>
        </w:tc>
        <w:tc>
          <w:tcPr>
            <w:tcW w:w="2250" w:type="dxa"/>
          </w:tcPr>
          <w:p w:rsidR="008C39A8" w:rsidRPr="008C39A8" w:rsidRDefault="000D027D" w:rsidP="00771E69">
            <w:pPr>
              <w:pStyle w:val="NoSpacing"/>
            </w:pPr>
            <w:r w:rsidRPr="008C39A8">
              <w:t>Homework, classwork</w:t>
            </w:r>
          </w:p>
        </w:tc>
        <w:tc>
          <w:tcPr>
            <w:tcW w:w="2898" w:type="dxa"/>
          </w:tcPr>
          <w:p w:rsidR="008C39A8" w:rsidRDefault="000D027D" w:rsidP="00771E69">
            <w:pPr>
              <w:pStyle w:val="NoSpacing"/>
            </w:pPr>
            <w:r w:rsidRPr="008C39A8">
              <w:t>Homework, tests</w:t>
            </w:r>
          </w:p>
        </w:tc>
      </w:tr>
    </w:tbl>
    <w:p w:rsidR="000C309A" w:rsidRDefault="000C309A" w:rsidP="00771E69">
      <w:pPr>
        <w:pStyle w:val="NoSpacing"/>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rsidTr="00D402CD">
        <w:tc>
          <w:tcPr>
            <w:tcW w:w="9576" w:type="dxa"/>
          </w:tcPr>
          <w:p w:rsidR="00D402CD" w:rsidRPr="000D027D" w:rsidRDefault="000D027D" w:rsidP="000D027D">
            <w:pPr>
              <w:pStyle w:val="NoSpacing"/>
              <w:numPr>
                <w:ilvl w:val="0"/>
                <w:numId w:val="6"/>
              </w:numPr>
              <w:ind w:left="450"/>
              <w:rPr>
                <w:rStyle w:val="Strong"/>
                <w:bCs w:val="0"/>
              </w:rPr>
            </w:pPr>
            <w:r w:rsidRPr="00F86DB6">
              <w:rPr>
                <w:rStyle w:val="Strong"/>
                <w:rFonts w:cstheme="minorHAnsi"/>
              </w:rPr>
              <w:t>The textbook will be posted in the MUOnline Content page for the class to use</w:t>
            </w:r>
            <w:r>
              <w:rPr>
                <w:rStyle w:val="Strong"/>
                <w:rFonts w:cstheme="minorHAnsi"/>
              </w:rPr>
              <w:t xml:space="preserve"> inside and</w:t>
            </w:r>
            <w:r w:rsidRPr="00F86DB6">
              <w:rPr>
                <w:rStyle w:val="Strong"/>
                <w:rFonts w:cstheme="minorHAnsi"/>
              </w:rPr>
              <w:t xml:space="preserve"> outside of the classroom.  It is </w:t>
            </w:r>
            <w:r>
              <w:rPr>
                <w:rStyle w:val="Strong"/>
                <w:rFonts w:cstheme="minorHAnsi"/>
              </w:rPr>
              <w:t>required</w:t>
            </w:r>
            <w:r w:rsidRPr="00F86DB6">
              <w:rPr>
                <w:rStyle w:val="Strong"/>
                <w:rFonts w:cstheme="minorHAnsi"/>
              </w:rPr>
              <w:t xml:space="preserve"> that you print a copy for yourself and keep them in a 3-ring binder</w:t>
            </w:r>
            <w:r w:rsidR="00291B5F">
              <w:rPr>
                <w:rStyle w:val="Strong"/>
                <w:rFonts w:cstheme="minorHAnsi"/>
              </w:rPr>
              <w:t xml:space="preserve"> to help organize your information </w:t>
            </w:r>
            <w:r w:rsidR="00CB0F8B">
              <w:rPr>
                <w:rStyle w:val="Strong"/>
                <w:rFonts w:cstheme="minorHAnsi"/>
              </w:rPr>
              <w:t>acquired in class</w:t>
            </w:r>
            <w:r w:rsidRPr="00F86DB6">
              <w:rPr>
                <w:rStyle w:val="Strong"/>
                <w:rFonts w:cstheme="minorHAnsi"/>
              </w:rPr>
              <w:t>.</w:t>
            </w:r>
          </w:p>
          <w:p w:rsidR="000D027D" w:rsidRPr="000D027D" w:rsidRDefault="000D027D" w:rsidP="000D027D">
            <w:pPr>
              <w:pStyle w:val="NoSpacing"/>
              <w:numPr>
                <w:ilvl w:val="0"/>
                <w:numId w:val="6"/>
              </w:numPr>
              <w:ind w:left="450"/>
              <w:rPr>
                <w:b/>
              </w:rPr>
            </w:pPr>
            <w:r w:rsidRPr="00F86DB6">
              <w:t>MyQuantway.org is the online homework tool and access will be provided to the student for free.  Students are required to have access to a computer and internet outside of class.</w:t>
            </w:r>
          </w:p>
          <w:p w:rsidR="000D027D" w:rsidRDefault="000D027D" w:rsidP="000D027D">
            <w:pPr>
              <w:pStyle w:val="NoSpacing"/>
              <w:numPr>
                <w:ilvl w:val="0"/>
                <w:numId w:val="6"/>
              </w:numPr>
              <w:ind w:left="450"/>
              <w:rPr>
                <w:b/>
              </w:rPr>
            </w:pPr>
            <w:r w:rsidRPr="00676F6D">
              <w:t>Scientific calculator with a [</w:t>
            </w:r>
            <w:r w:rsidRPr="00676F6D">
              <w:rPr>
                <w:position w:val="-10"/>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11" o:title=""/>
                </v:shape>
                <o:OLEObject Type="Embed" ProgID="Equation.3" ShapeID="_x0000_i1025" DrawAspect="Content" ObjectID="_1482047134" r:id="rId12"/>
              </w:object>
            </w:r>
            <w:r w:rsidRPr="00676F6D">
              <w:t>] or [^</w:t>
            </w:r>
            <w:proofErr w:type="gramStart"/>
            <w:r w:rsidRPr="00676F6D">
              <w:t>] ,</w:t>
            </w:r>
            <w:proofErr w:type="gramEnd"/>
            <w:r w:rsidRPr="00676F6D">
              <w:t xml:space="preserve"> [</w:t>
            </w:r>
            <w:r w:rsidRPr="00676F6D">
              <w:rPr>
                <w:position w:val="-6"/>
              </w:rPr>
              <w:object w:dxaOrig="279" w:dyaOrig="320">
                <v:shape id="_x0000_i1026" type="#_x0000_t75" style="width:14.25pt;height:15.75pt" o:ole="">
                  <v:imagedata r:id="rId13" o:title=""/>
                </v:shape>
                <o:OLEObject Type="Embed" ProgID="Equation.3" ShapeID="_x0000_i1026" DrawAspect="Content" ObjectID="_1482047135" r:id="rId14"/>
              </w:object>
            </w:r>
            <w:r w:rsidRPr="00676F6D">
              <w:t>] or [</w:t>
            </w:r>
            <w:r w:rsidRPr="00676F6D">
              <w:rPr>
                <w:position w:val="-6"/>
              </w:rPr>
              <w:object w:dxaOrig="480" w:dyaOrig="279">
                <v:shape id="_x0000_i1027" type="#_x0000_t75" style="width:24pt;height:14.25pt" o:ole="">
                  <v:imagedata r:id="rId15" o:title=""/>
                </v:shape>
                <o:OLEObject Type="Embed" ProgID="Equation.3" ShapeID="_x0000_i1027" DrawAspect="Content" ObjectID="_1482047136" r:id="rId16"/>
              </w:object>
            </w:r>
            <w:r w:rsidRPr="00676F6D">
              <w:t xml:space="preserve">], and [LOG] and [LN] keys.  I suggest TI 30X </w:t>
            </w:r>
            <w:r w:rsidRPr="000D027D">
              <w:rPr>
                <w:rFonts w:cs="Times New Roman"/>
              </w:rPr>
              <w:t>II</w:t>
            </w:r>
            <w:r w:rsidRPr="00676F6D">
              <w:t>S (you can see the operations on the screen).</w:t>
            </w:r>
            <w:r w:rsidRPr="00F86DB6">
              <w:t xml:space="preserve"> Students </w:t>
            </w:r>
            <w:proofErr w:type="gramStart"/>
            <w:r w:rsidRPr="00F86DB6">
              <w:t xml:space="preserve">may </w:t>
            </w:r>
            <w:r>
              <w:t xml:space="preserve"> </w:t>
            </w:r>
            <w:r w:rsidRPr="00F86DB6">
              <w:t>not</w:t>
            </w:r>
            <w:proofErr w:type="gramEnd"/>
            <w:r w:rsidRPr="00F86DB6">
              <w:t xml:space="preserve"> utilize cell phones as calculators during tests.</w:t>
            </w:r>
          </w:p>
        </w:tc>
      </w:tr>
    </w:tbl>
    <w:p w:rsidR="000C309A" w:rsidRDefault="000C309A"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rsidTr="00D402CD">
        <w:tc>
          <w:tcPr>
            <w:tcW w:w="9576" w:type="dxa"/>
          </w:tcPr>
          <w:p w:rsidR="00976D1D" w:rsidRPr="00F71F15" w:rsidRDefault="00F71F15" w:rsidP="00F71F15">
            <w:pPr>
              <w:pStyle w:val="NoSpacing"/>
              <w:numPr>
                <w:ilvl w:val="0"/>
                <w:numId w:val="7"/>
              </w:numPr>
              <w:ind w:left="360"/>
            </w:pPr>
            <w:r w:rsidRPr="00F71F15">
              <w:rPr>
                <w:rFonts w:eastAsia="Times New Roman" w:cs="Times New Roman"/>
                <w:b/>
                <w:bCs/>
                <w:iCs/>
              </w:rPr>
              <w:t>Prerequisites</w:t>
            </w:r>
            <w:r w:rsidRPr="00F71F15">
              <w:rPr>
                <w:rFonts w:eastAsia="Times New Roman" w:cs="Times New Roman"/>
                <w:b/>
                <w:bCs/>
              </w:rPr>
              <w:t xml:space="preserve">:  MTH 098Q or </w:t>
            </w:r>
            <w:r>
              <w:rPr>
                <w:rFonts w:eastAsia="Times New Roman" w:cs="Times New Roman"/>
                <w:b/>
                <w:bCs/>
              </w:rPr>
              <w:t>MTH 099 or Math ACT 19 or above</w:t>
            </w:r>
          </w:p>
          <w:p w:rsidR="00F71F15" w:rsidRPr="00F71F15" w:rsidRDefault="00F71F15" w:rsidP="00F71F15">
            <w:pPr>
              <w:pStyle w:val="NoSpacing"/>
              <w:numPr>
                <w:ilvl w:val="0"/>
                <w:numId w:val="7"/>
              </w:numPr>
              <w:ind w:left="360"/>
            </w:pPr>
            <w:r>
              <w:rPr>
                <w:rFonts w:eastAsia="Times New Roman" w:cs="Times New Roman"/>
                <w:b/>
                <w:bCs/>
              </w:rPr>
              <w:t>Approximate due dates can be found in the Course Schedule at the end of this syllabus.</w:t>
            </w:r>
          </w:p>
          <w:p w:rsidR="00F71F15" w:rsidRDefault="00F71F15" w:rsidP="00F71F15">
            <w:pPr>
              <w:pStyle w:val="NoSpacing"/>
              <w:numPr>
                <w:ilvl w:val="0"/>
                <w:numId w:val="7"/>
              </w:numPr>
              <w:ind w:left="360"/>
            </w:pPr>
            <w:r>
              <w:rPr>
                <w:rFonts w:eastAsia="Times New Roman" w:cs="Times New Roman"/>
                <w:b/>
                <w:bCs/>
              </w:rPr>
              <w:t>Exact due dates can be found in the calendar on MyQuantway.org</w:t>
            </w:r>
          </w:p>
          <w:p w:rsidR="007F31AE" w:rsidRDefault="007F31AE" w:rsidP="007F31AE">
            <w:pPr>
              <w:pStyle w:val="NoSpacing"/>
              <w:ind w:left="720"/>
            </w:pPr>
          </w:p>
        </w:tc>
      </w:tr>
    </w:tbl>
    <w:p w:rsidR="00D402CD" w:rsidRDefault="00D402CD" w:rsidP="00771E69">
      <w:pPr>
        <w:pStyle w:val="NoSpacing"/>
      </w:pPr>
    </w:p>
    <w:p w:rsidR="00976D1D" w:rsidRDefault="00976D1D" w:rsidP="00771E69">
      <w:pPr>
        <w:pStyle w:val="NoSpacing"/>
        <w:rPr>
          <w:b/>
          <w:u w:val="single"/>
        </w:rPr>
      </w:pPr>
      <w:r w:rsidRPr="00625C8E">
        <w:rPr>
          <w:b/>
        </w:rPr>
        <w:t>Grading Policy</w:t>
      </w:r>
    </w:p>
    <w:tbl>
      <w:tblPr>
        <w:tblStyle w:val="TableGrid"/>
        <w:tblW w:w="0" w:type="auto"/>
        <w:tblLook w:val="04A0" w:firstRow="1" w:lastRow="0" w:firstColumn="1" w:lastColumn="0" w:noHBand="0" w:noVBand="1"/>
      </w:tblPr>
      <w:tblGrid>
        <w:gridCol w:w="9576"/>
      </w:tblGrid>
      <w:tr w:rsidR="00976D1D" w:rsidTr="00976D1D">
        <w:tc>
          <w:tcPr>
            <w:tcW w:w="9576" w:type="dxa"/>
          </w:tcPr>
          <w:p w:rsidR="00976D1D" w:rsidRDefault="00976D1D" w:rsidP="00976D1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EC5078" w:rsidRPr="004E67C1" w:rsidTr="006C32CE">
              <w:trPr>
                <w:jc w:val="center"/>
              </w:trPr>
              <w:tc>
                <w:tcPr>
                  <w:tcW w:w="3078" w:type="dxa"/>
                  <w:vAlign w:val="bottom"/>
                </w:tcPr>
                <w:p w:rsidR="00EC5078" w:rsidRPr="004E67C1" w:rsidRDefault="00EC5078" w:rsidP="006C32CE">
                  <w:pPr>
                    <w:jc w:val="center"/>
                    <w:rPr>
                      <w:rFonts w:ascii="Calibri" w:hAnsi="Calibri" w:cs="Calibri"/>
                      <w:b/>
                      <w:bCs/>
                    </w:rPr>
                  </w:pPr>
                  <w:r w:rsidRPr="004E67C1">
                    <w:rPr>
                      <w:rFonts w:ascii="Calibri" w:hAnsi="Calibri" w:cs="Calibri"/>
                      <w:b/>
                      <w:bCs/>
                    </w:rPr>
                    <w:t>Category</w:t>
                  </w:r>
                </w:p>
              </w:tc>
              <w:tc>
                <w:tcPr>
                  <w:tcW w:w="1440" w:type="dxa"/>
                  <w:vAlign w:val="bottom"/>
                </w:tcPr>
                <w:p w:rsidR="00EC5078" w:rsidRPr="004E67C1" w:rsidRDefault="00EC5078" w:rsidP="006C32CE">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rsidR="00EC5078" w:rsidRPr="004E67C1" w:rsidRDefault="00EC5078" w:rsidP="006C32CE">
                  <w:pPr>
                    <w:jc w:val="center"/>
                    <w:rPr>
                      <w:rFonts w:ascii="Calibri" w:hAnsi="Calibri" w:cs="Calibri"/>
                      <w:bCs/>
                    </w:rPr>
                  </w:pPr>
                </w:p>
              </w:tc>
            </w:tr>
            <w:tr w:rsidR="00EC5078" w:rsidRPr="004E67C1" w:rsidTr="006C32CE">
              <w:trPr>
                <w:jc w:val="center"/>
              </w:trPr>
              <w:tc>
                <w:tcPr>
                  <w:tcW w:w="3078" w:type="dxa"/>
                  <w:vAlign w:val="bottom"/>
                </w:tcPr>
                <w:p w:rsidR="00EC5078" w:rsidRPr="004E67C1" w:rsidRDefault="00EC5078" w:rsidP="006C32CE">
                  <w:pPr>
                    <w:rPr>
                      <w:rFonts w:ascii="Calibri" w:hAnsi="Calibri" w:cs="Calibri"/>
                      <w:bCs/>
                    </w:rPr>
                  </w:pPr>
                  <w:r w:rsidRPr="004E67C1">
                    <w:rPr>
                      <w:rFonts w:ascii="Calibri" w:hAnsi="Calibri" w:cs="Calibri"/>
                      <w:bCs/>
                    </w:rPr>
                    <w:t>In-Class Exams</w:t>
                  </w:r>
                </w:p>
              </w:tc>
              <w:tc>
                <w:tcPr>
                  <w:tcW w:w="1440" w:type="dxa"/>
                  <w:vAlign w:val="bottom"/>
                </w:tcPr>
                <w:p w:rsidR="00EC5078" w:rsidRPr="004E67C1" w:rsidRDefault="00EC5078" w:rsidP="006C32CE">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rsidR="00EC5078" w:rsidRPr="004E67C1" w:rsidRDefault="00EC5078" w:rsidP="006C32CE">
                  <w:pPr>
                    <w:jc w:val="center"/>
                    <w:rPr>
                      <w:rFonts w:ascii="Calibri" w:hAnsi="Calibri" w:cs="Calibri"/>
                      <w:bCs/>
                    </w:rPr>
                  </w:pPr>
                </w:p>
              </w:tc>
            </w:tr>
            <w:tr w:rsidR="00EC5078" w:rsidRPr="004E67C1" w:rsidTr="006C32CE">
              <w:trPr>
                <w:jc w:val="center"/>
              </w:trPr>
              <w:tc>
                <w:tcPr>
                  <w:tcW w:w="3078" w:type="dxa"/>
                  <w:vAlign w:val="bottom"/>
                </w:tcPr>
                <w:p w:rsidR="00EC5078" w:rsidRPr="004E67C1" w:rsidRDefault="00EC5078" w:rsidP="006C32CE">
                  <w:pPr>
                    <w:rPr>
                      <w:rFonts w:ascii="Calibri" w:hAnsi="Calibri" w:cs="Calibri"/>
                      <w:bCs/>
                    </w:rPr>
                  </w:pPr>
                  <w:r w:rsidRPr="004E67C1">
                    <w:rPr>
                      <w:rFonts w:ascii="Calibri" w:hAnsi="Calibri" w:cs="Calibri"/>
                      <w:bCs/>
                    </w:rPr>
                    <w:t>Comprehensive Final Exam</w:t>
                  </w:r>
                </w:p>
              </w:tc>
              <w:tc>
                <w:tcPr>
                  <w:tcW w:w="1440" w:type="dxa"/>
                  <w:vAlign w:val="bottom"/>
                </w:tcPr>
                <w:p w:rsidR="00EC5078" w:rsidRPr="004E67C1" w:rsidRDefault="00EC5078" w:rsidP="006C32CE">
                  <w:pPr>
                    <w:jc w:val="center"/>
                    <w:rPr>
                      <w:rFonts w:ascii="Calibri" w:hAnsi="Calibri" w:cs="Calibri"/>
                      <w:bCs/>
                    </w:rPr>
                  </w:pPr>
                  <w:r>
                    <w:rPr>
                      <w:rFonts w:ascii="Calibri" w:hAnsi="Calibri" w:cs="Calibri"/>
                      <w:bCs/>
                    </w:rPr>
                    <w:t>25</w:t>
                  </w:r>
                  <w:r w:rsidRPr="004E67C1">
                    <w:rPr>
                      <w:rFonts w:ascii="Calibri" w:hAnsi="Calibri" w:cs="Calibri"/>
                      <w:bCs/>
                    </w:rPr>
                    <w:t>%</w:t>
                  </w:r>
                </w:p>
              </w:tc>
              <w:tc>
                <w:tcPr>
                  <w:tcW w:w="270" w:type="dxa"/>
                  <w:tcBorders>
                    <w:top w:val="nil"/>
                    <w:bottom w:val="nil"/>
                    <w:right w:val="nil"/>
                  </w:tcBorders>
                </w:tcPr>
                <w:p w:rsidR="00EC5078" w:rsidRPr="004E67C1" w:rsidRDefault="00EC5078" w:rsidP="006C32CE">
                  <w:pPr>
                    <w:jc w:val="center"/>
                    <w:rPr>
                      <w:rFonts w:ascii="Calibri" w:hAnsi="Calibri" w:cs="Calibri"/>
                      <w:bCs/>
                    </w:rPr>
                  </w:pPr>
                </w:p>
              </w:tc>
            </w:tr>
            <w:tr w:rsidR="00EC5078" w:rsidRPr="004E67C1" w:rsidTr="006C32CE">
              <w:trPr>
                <w:jc w:val="center"/>
              </w:trPr>
              <w:tc>
                <w:tcPr>
                  <w:tcW w:w="3078" w:type="dxa"/>
                  <w:vAlign w:val="bottom"/>
                </w:tcPr>
                <w:p w:rsidR="00EC5078" w:rsidRPr="002E231D" w:rsidRDefault="00EC5078" w:rsidP="006C32CE">
                  <w:pPr>
                    <w:rPr>
                      <w:rFonts w:ascii="Calibri" w:hAnsi="Calibri" w:cs="Calibri"/>
                      <w:bCs/>
                    </w:rPr>
                  </w:pPr>
                  <w:r w:rsidRPr="002E231D">
                    <w:rPr>
                      <w:rFonts w:ascii="Calibri" w:hAnsi="Calibri" w:cs="Calibri"/>
                      <w:bCs/>
                    </w:rPr>
                    <w:t>Online Homework Tool</w:t>
                  </w:r>
                </w:p>
              </w:tc>
              <w:tc>
                <w:tcPr>
                  <w:tcW w:w="1440" w:type="dxa"/>
                  <w:vAlign w:val="bottom"/>
                </w:tcPr>
                <w:p w:rsidR="00EC5078" w:rsidRPr="002E231D" w:rsidRDefault="00EC5078" w:rsidP="006C32CE">
                  <w:pPr>
                    <w:jc w:val="center"/>
                    <w:rPr>
                      <w:rFonts w:ascii="Calibri" w:hAnsi="Calibri" w:cs="Calibri"/>
                      <w:bCs/>
                    </w:rPr>
                  </w:pPr>
                  <w:r>
                    <w:rPr>
                      <w:rFonts w:ascii="Calibri" w:hAnsi="Calibri" w:cs="Calibri"/>
                      <w:bCs/>
                    </w:rPr>
                    <w:t>20</w:t>
                  </w:r>
                  <w:r w:rsidRPr="002E231D">
                    <w:rPr>
                      <w:rFonts w:ascii="Calibri" w:hAnsi="Calibri" w:cs="Calibri"/>
                      <w:bCs/>
                    </w:rPr>
                    <w:t>%</w:t>
                  </w:r>
                </w:p>
              </w:tc>
              <w:tc>
                <w:tcPr>
                  <w:tcW w:w="270" w:type="dxa"/>
                  <w:tcBorders>
                    <w:top w:val="nil"/>
                    <w:bottom w:val="nil"/>
                    <w:right w:val="nil"/>
                  </w:tcBorders>
                </w:tcPr>
                <w:p w:rsidR="00EC5078" w:rsidRPr="004E67C1" w:rsidRDefault="00EC5078" w:rsidP="006C32CE">
                  <w:pPr>
                    <w:jc w:val="center"/>
                    <w:rPr>
                      <w:rFonts w:ascii="Calibri" w:hAnsi="Calibri" w:cs="Calibri"/>
                      <w:bCs/>
                    </w:rPr>
                  </w:pPr>
                </w:p>
              </w:tc>
            </w:tr>
            <w:tr w:rsidR="00EC5078" w:rsidRPr="004E67C1" w:rsidTr="006C32CE">
              <w:trPr>
                <w:jc w:val="center"/>
              </w:trPr>
              <w:tc>
                <w:tcPr>
                  <w:tcW w:w="3078" w:type="dxa"/>
                  <w:vAlign w:val="bottom"/>
                </w:tcPr>
                <w:p w:rsidR="00EC5078" w:rsidRPr="002E231D" w:rsidRDefault="00625C8E" w:rsidP="006C32CE">
                  <w:pPr>
                    <w:rPr>
                      <w:rFonts w:ascii="Calibri" w:hAnsi="Calibri" w:cs="Calibri"/>
                      <w:bCs/>
                    </w:rPr>
                  </w:pPr>
                  <w:r>
                    <w:rPr>
                      <w:rFonts w:ascii="Calibri" w:hAnsi="Calibri" w:cs="Calibri"/>
                      <w:bCs/>
                    </w:rPr>
                    <w:t>Take-home</w:t>
                  </w:r>
                  <w:r w:rsidR="00EC5078">
                    <w:rPr>
                      <w:rFonts w:ascii="Calibri" w:hAnsi="Calibri" w:cs="Calibri"/>
                      <w:bCs/>
                    </w:rPr>
                    <w:t xml:space="preserve"> Activities</w:t>
                  </w:r>
                  <w:r>
                    <w:rPr>
                      <w:rFonts w:ascii="Calibri" w:hAnsi="Calibri" w:cs="Calibri"/>
                      <w:bCs/>
                    </w:rPr>
                    <w:t>/Projects</w:t>
                  </w:r>
                </w:p>
              </w:tc>
              <w:tc>
                <w:tcPr>
                  <w:tcW w:w="1440" w:type="dxa"/>
                  <w:vAlign w:val="bottom"/>
                </w:tcPr>
                <w:p w:rsidR="00EC5078" w:rsidRPr="002E231D" w:rsidRDefault="00EC5078" w:rsidP="006C32CE">
                  <w:pPr>
                    <w:jc w:val="center"/>
                    <w:rPr>
                      <w:rFonts w:ascii="Calibri" w:hAnsi="Calibri" w:cs="Calibri"/>
                      <w:bCs/>
                    </w:rPr>
                  </w:pPr>
                  <w:r>
                    <w:rPr>
                      <w:rFonts w:ascii="Calibri" w:hAnsi="Calibri" w:cs="Calibri"/>
                      <w:bCs/>
                    </w:rPr>
                    <w:t>10%</w:t>
                  </w:r>
                </w:p>
              </w:tc>
              <w:tc>
                <w:tcPr>
                  <w:tcW w:w="270" w:type="dxa"/>
                  <w:tcBorders>
                    <w:top w:val="nil"/>
                    <w:bottom w:val="nil"/>
                    <w:right w:val="nil"/>
                  </w:tcBorders>
                </w:tcPr>
                <w:p w:rsidR="00EC5078" w:rsidRPr="004E67C1" w:rsidRDefault="00EC5078" w:rsidP="006C32CE">
                  <w:pPr>
                    <w:jc w:val="center"/>
                    <w:rPr>
                      <w:rFonts w:ascii="Calibri" w:hAnsi="Calibri" w:cs="Calibri"/>
                      <w:bCs/>
                    </w:rPr>
                  </w:pPr>
                </w:p>
              </w:tc>
            </w:tr>
            <w:tr w:rsidR="00EC5078" w:rsidRPr="004E67C1" w:rsidTr="006C32CE">
              <w:trPr>
                <w:jc w:val="center"/>
              </w:trPr>
              <w:tc>
                <w:tcPr>
                  <w:tcW w:w="3078" w:type="dxa"/>
                  <w:vAlign w:val="bottom"/>
                </w:tcPr>
                <w:p w:rsidR="00EC5078" w:rsidRPr="002E231D" w:rsidRDefault="00EC5078" w:rsidP="006C32CE">
                  <w:pPr>
                    <w:rPr>
                      <w:rFonts w:ascii="Calibri" w:hAnsi="Calibri" w:cs="Calibri"/>
                      <w:bCs/>
                    </w:rPr>
                  </w:pPr>
                  <w:r>
                    <w:rPr>
                      <w:rFonts w:ascii="Calibri" w:hAnsi="Calibri" w:cs="Calibri"/>
                      <w:bCs/>
                    </w:rPr>
                    <w:t>Participation</w:t>
                  </w:r>
                  <w:r w:rsidRPr="002E231D">
                    <w:rPr>
                      <w:rFonts w:ascii="Calibri" w:hAnsi="Calibri" w:cs="Calibri"/>
                      <w:bCs/>
                    </w:rPr>
                    <w:t xml:space="preserve"> </w:t>
                  </w:r>
                </w:p>
              </w:tc>
              <w:tc>
                <w:tcPr>
                  <w:tcW w:w="1440" w:type="dxa"/>
                  <w:vAlign w:val="bottom"/>
                </w:tcPr>
                <w:p w:rsidR="00EC5078" w:rsidRPr="002E231D" w:rsidRDefault="00EC5078" w:rsidP="006C32CE">
                  <w:pPr>
                    <w:jc w:val="center"/>
                    <w:rPr>
                      <w:rFonts w:ascii="Calibri" w:hAnsi="Calibri" w:cs="Calibri"/>
                      <w:bCs/>
                    </w:rPr>
                  </w:pPr>
                  <w:r>
                    <w:rPr>
                      <w:rFonts w:ascii="Calibri" w:hAnsi="Calibri" w:cs="Calibri"/>
                      <w:bCs/>
                    </w:rPr>
                    <w:t>5</w:t>
                  </w:r>
                  <w:r w:rsidRPr="002E231D">
                    <w:rPr>
                      <w:rFonts w:ascii="Calibri" w:hAnsi="Calibri" w:cs="Calibri"/>
                      <w:bCs/>
                    </w:rPr>
                    <w:t>%</w:t>
                  </w:r>
                </w:p>
              </w:tc>
              <w:tc>
                <w:tcPr>
                  <w:tcW w:w="270" w:type="dxa"/>
                  <w:tcBorders>
                    <w:top w:val="nil"/>
                    <w:bottom w:val="nil"/>
                    <w:right w:val="nil"/>
                  </w:tcBorders>
                </w:tcPr>
                <w:p w:rsidR="00EC5078" w:rsidRPr="004E67C1" w:rsidRDefault="00EC5078" w:rsidP="006C32CE">
                  <w:pPr>
                    <w:jc w:val="center"/>
                    <w:rPr>
                      <w:rFonts w:ascii="Calibri" w:hAnsi="Calibri" w:cs="Calibri"/>
                      <w:bCs/>
                    </w:rPr>
                  </w:pPr>
                </w:p>
              </w:tc>
            </w:tr>
          </w:tbl>
          <w:p w:rsidR="007B47FA" w:rsidRDefault="007B47FA" w:rsidP="007B47FA">
            <w:pPr>
              <w:spacing w:before="120"/>
            </w:pPr>
            <w:r w:rsidRPr="00676F6D">
              <w:t xml:space="preserve">The following point totals will assure the accompanying letter grade: </w:t>
            </w:r>
          </w:p>
          <w:p w:rsidR="007B47FA" w:rsidRPr="00676F6D" w:rsidRDefault="007B47FA" w:rsidP="007B47FA">
            <w:pPr>
              <w:spacing w:before="120"/>
              <w:jc w:val="center"/>
            </w:pPr>
            <w:r w:rsidRPr="00676F6D">
              <w:t>90% A     80% B     70% C     60% D   Below 60% F</w:t>
            </w:r>
          </w:p>
          <w:p w:rsidR="007F31AE" w:rsidRPr="00976D1D" w:rsidRDefault="007B47FA" w:rsidP="007B47FA">
            <w:pPr>
              <w:spacing w:before="240"/>
            </w:pPr>
            <w:r w:rsidRPr="00676F6D">
              <w:t>The grading scale is rigid.  Students will receive the grade that they earn</w:t>
            </w:r>
            <w:r>
              <w:t xml:space="preserve"> from the work that they do</w:t>
            </w:r>
            <w:r w:rsidRPr="00676F6D">
              <w:t>.</w:t>
            </w:r>
          </w:p>
        </w:tc>
      </w:tr>
    </w:tbl>
    <w:p w:rsidR="00976D1D" w:rsidRDefault="00976D1D" w:rsidP="00771E69">
      <w:pPr>
        <w:pStyle w:val="NoSpacing"/>
      </w:pPr>
    </w:p>
    <w:p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576"/>
      </w:tblGrid>
      <w:tr w:rsidR="00976D1D" w:rsidTr="00976D1D">
        <w:tc>
          <w:tcPr>
            <w:tcW w:w="9576" w:type="dxa"/>
          </w:tcPr>
          <w:p w:rsidR="007F31AE" w:rsidRPr="00976D1D" w:rsidRDefault="00F71F15" w:rsidP="007B47FA">
            <w:pPr>
              <w:pStyle w:val="NoSpacing"/>
            </w:pPr>
            <w:r w:rsidRPr="00F71F15">
              <w:t xml:space="preserve">Students are expected to attend and participate in </w:t>
            </w:r>
            <w:r w:rsidRPr="00F71F15">
              <w:rPr>
                <w:b/>
                <w:bCs/>
              </w:rPr>
              <w:t xml:space="preserve">each </w:t>
            </w:r>
            <w:r w:rsidRPr="00F71F15">
              <w:t xml:space="preserve">class. If a student misses more than </w:t>
            </w:r>
            <w:r w:rsidRPr="00F71F15">
              <w:rPr>
                <w:i/>
                <w:iCs/>
              </w:rPr>
              <w:t xml:space="preserve">three </w:t>
            </w:r>
            <w:r w:rsidRPr="00F71F15">
              <w:t xml:space="preserve">classes he/she will be penalized </w:t>
            </w:r>
            <w:r w:rsidR="007B47FA">
              <w:t>2</w:t>
            </w:r>
            <w:r w:rsidRPr="00F71F15">
              <w:t xml:space="preserve"> points on his/her final class grade for each </w:t>
            </w:r>
            <w:r w:rsidRPr="00F71F15">
              <w:rPr>
                <w:b/>
                <w:bCs/>
                <w:i/>
                <w:iCs/>
              </w:rPr>
              <w:t xml:space="preserve">unexcused </w:t>
            </w:r>
            <w:r w:rsidRPr="00F71F15">
              <w:t xml:space="preserve">absence beyond the three allotted. </w:t>
            </w:r>
            <w:r w:rsidRPr="00F71F15">
              <w:rPr>
                <w:b/>
                <w:bCs/>
              </w:rPr>
              <w:t xml:space="preserve">Seven </w:t>
            </w:r>
            <w:r w:rsidRPr="00F71F15">
              <w:rPr>
                <w:i/>
                <w:iCs/>
              </w:rPr>
              <w:t xml:space="preserve">unexcused </w:t>
            </w:r>
            <w:r w:rsidRPr="00F71F15">
              <w:t xml:space="preserve">absences will result in an automatic letter grade of </w:t>
            </w:r>
            <w:r w:rsidRPr="00F71F15">
              <w:rPr>
                <w:b/>
                <w:bCs/>
                <w:i/>
                <w:iCs/>
              </w:rPr>
              <w:t>F</w:t>
            </w:r>
            <w:r w:rsidRPr="00F71F15">
              <w:t xml:space="preserve">. </w:t>
            </w:r>
            <w:r w:rsidRPr="00F71F15">
              <w:rPr>
                <w:b/>
                <w:bCs/>
                <w:i/>
                <w:iCs/>
              </w:rPr>
              <w:t xml:space="preserve">See me to get absences excused immediately! </w:t>
            </w:r>
            <w:r w:rsidRPr="00F71F15">
              <w:rPr>
                <w:b/>
                <w:i/>
                <w:iCs/>
              </w:rPr>
              <w:t>After one week absences are not excusable.</w:t>
            </w:r>
            <w:r w:rsidRPr="00F71F15">
              <w:rPr>
                <w:i/>
                <w:iCs/>
              </w:rPr>
              <w:t xml:space="preserve"> </w:t>
            </w:r>
            <w:r w:rsidRPr="00F71F15">
              <w:t xml:space="preserve">Students must request permission to take a make-up exam </w:t>
            </w:r>
            <w:r w:rsidRPr="00F71F15">
              <w:rPr>
                <w:b/>
                <w:bCs/>
              </w:rPr>
              <w:t xml:space="preserve">prior </w:t>
            </w:r>
            <w:r w:rsidRPr="00F71F15">
              <w:t>to the exam and only for a very serious reason. Makeup exams will be given to students outside of class time at the convenience of the instructor.</w:t>
            </w:r>
            <w:r w:rsidRPr="00F71F15">
              <w:rPr>
                <w:i/>
              </w:rPr>
              <w:t xml:space="preserve"> </w:t>
            </w:r>
          </w:p>
        </w:tc>
      </w:tr>
    </w:tbl>
    <w:p w:rsidR="00625C8E" w:rsidRDefault="00625C8E" w:rsidP="007B47FA">
      <w:pPr>
        <w:pStyle w:val="NoSpacing"/>
        <w:rPr>
          <w:b/>
        </w:rPr>
      </w:pPr>
    </w:p>
    <w:p w:rsidR="007B47FA" w:rsidRDefault="007B47FA" w:rsidP="007B47FA">
      <w:pPr>
        <w:pStyle w:val="NoSpacing"/>
        <w:rPr>
          <w:b/>
        </w:rPr>
      </w:pPr>
      <w:r>
        <w:rPr>
          <w:b/>
        </w:rPr>
        <w:t>Homework/Projects</w:t>
      </w:r>
    </w:p>
    <w:tbl>
      <w:tblPr>
        <w:tblStyle w:val="TableGrid"/>
        <w:tblW w:w="0" w:type="auto"/>
        <w:tblLook w:val="04A0" w:firstRow="1" w:lastRow="0" w:firstColumn="1" w:lastColumn="0" w:noHBand="0" w:noVBand="1"/>
      </w:tblPr>
      <w:tblGrid>
        <w:gridCol w:w="9576"/>
      </w:tblGrid>
      <w:tr w:rsidR="007B47FA" w:rsidTr="006C32CE">
        <w:tc>
          <w:tcPr>
            <w:tcW w:w="9576" w:type="dxa"/>
          </w:tcPr>
          <w:p w:rsidR="00015278" w:rsidRDefault="007B47FA" w:rsidP="00015278">
            <w:pPr>
              <w:pStyle w:val="ListParagraph"/>
              <w:numPr>
                <w:ilvl w:val="0"/>
                <w:numId w:val="9"/>
              </w:numPr>
              <w:spacing w:before="120"/>
              <w:ind w:left="360"/>
            </w:pPr>
            <w:r w:rsidRPr="00015278">
              <w:rPr>
                <w:bCs/>
              </w:rPr>
              <w:t xml:space="preserve">Homework is to be completed on MyQuantway.org as the material is </w:t>
            </w:r>
            <w:r w:rsidR="00015278" w:rsidRPr="00015278">
              <w:rPr>
                <w:bCs/>
              </w:rPr>
              <w:t>covered in</w:t>
            </w:r>
            <w:r w:rsidRPr="00015278">
              <w:rPr>
                <w:bCs/>
              </w:rPr>
              <w:t xml:space="preserve"> class.  Dates will be set for the OCE and PNLs.  Make sure to check the calendar in </w:t>
            </w:r>
            <w:proofErr w:type="spellStart"/>
            <w:r w:rsidRPr="00015278">
              <w:rPr>
                <w:bCs/>
              </w:rPr>
              <w:t>MyQuantway</w:t>
            </w:r>
            <w:proofErr w:type="spellEnd"/>
            <w:r w:rsidRPr="00676F6D">
              <w:t xml:space="preserve"> </w:t>
            </w:r>
            <w:r>
              <w:t xml:space="preserve">for due dates as they are subject to change.  </w:t>
            </w:r>
            <w:r w:rsidR="00015278">
              <w:t xml:space="preserve">These assignments are necessary to prepare for </w:t>
            </w:r>
            <w:r w:rsidR="00625C8E">
              <w:t>and complete work that will be done in class.</w:t>
            </w:r>
          </w:p>
          <w:p w:rsidR="007B47FA" w:rsidRPr="00976D1D" w:rsidRDefault="00015278" w:rsidP="007B47FA">
            <w:pPr>
              <w:pStyle w:val="ListParagraph"/>
              <w:numPr>
                <w:ilvl w:val="0"/>
                <w:numId w:val="9"/>
              </w:numPr>
              <w:spacing w:before="120"/>
              <w:ind w:left="360"/>
            </w:pPr>
            <w:r w:rsidRPr="00015278">
              <w:rPr>
                <w:rFonts w:asciiTheme="minorHAnsi" w:hAnsiTheme="minorHAnsi" w:cstheme="minorHAnsi"/>
                <w:b/>
              </w:rPr>
              <w:lastRenderedPageBreak/>
              <w:t>Take home assignments and projects</w:t>
            </w:r>
            <w:r w:rsidRPr="00015278">
              <w:rPr>
                <w:rFonts w:asciiTheme="minorHAnsi" w:hAnsiTheme="minorHAnsi" w:cstheme="minorHAnsi"/>
              </w:rPr>
              <w:t xml:space="preserve"> will be assigned and are expected to be completed by the given due date. One of these assignments will be uploaded as an artifact into the university’s GEAR assessment website as part of the CT requirement for the class.  These assignments will be discussed in class and will be collected.    The general due date for </w:t>
            </w:r>
            <w:proofErr w:type="gramStart"/>
            <w:r w:rsidRPr="00015278">
              <w:rPr>
                <w:rFonts w:asciiTheme="minorHAnsi" w:hAnsiTheme="minorHAnsi" w:cstheme="minorHAnsi"/>
              </w:rPr>
              <w:t>Projects  will</w:t>
            </w:r>
            <w:proofErr w:type="gramEnd"/>
            <w:r w:rsidRPr="00015278">
              <w:rPr>
                <w:rFonts w:asciiTheme="minorHAnsi" w:hAnsiTheme="minorHAnsi" w:cstheme="minorHAnsi"/>
              </w:rPr>
              <w:t xml:space="preserve"> be on </w:t>
            </w:r>
            <w:r>
              <w:rPr>
                <w:rFonts w:asciiTheme="minorHAnsi" w:hAnsiTheme="minorHAnsi" w:cstheme="minorHAnsi"/>
              </w:rPr>
              <w:t>Friday of the week they are due</w:t>
            </w:r>
            <w:r w:rsidRPr="00015278">
              <w:rPr>
                <w:rFonts w:asciiTheme="minorHAnsi" w:hAnsiTheme="minorHAnsi" w:cstheme="minorHAnsi"/>
              </w:rPr>
              <w:t>.</w:t>
            </w:r>
            <w:r w:rsidRPr="00015278">
              <w:rPr>
                <w:rFonts w:asciiTheme="minorHAnsi" w:hAnsiTheme="minorHAnsi" w:cstheme="minorHAnsi"/>
                <w:color w:val="000000"/>
                <w:lang w:eastAsia="zh-CN"/>
              </w:rPr>
              <w:t xml:space="preserve"> </w:t>
            </w:r>
          </w:p>
        </w:tc>
      </w:tr>
    </w:tbl>
    <w:p w:rsidR="00976D1D" w:rsidRDefault="00976D1D" w:rsidP="00771E69">
      <w:pPr>
        <w:pStyle w:val="NoSpacing"/>
      </w:pPr>
    </w:p>
    <w:p w:rsidR="007B47FA" w:rsidRDefault="007B47FA" w:rsidP="007B47FA">
      <w:pPr>
        <w:pStyle w:val="NoSpacing"/>
        <w:rPr>
          <w:b/>
        </w:rPr>
      </w:pPr>
      <w:r>
        <w:rPr>
          <w:b/>
        </w:rPr>
        <w:t>Classroom Etiquette</w:t>
      </w:r>
    </w:p>
    <w:tbl>
      <w:tblPr>
        <w:tblStyle w:val="TableGrid"/>
        <w:tblW w:w="0" w:type="auto"/>
        <w:tblLook w:val="04A0" w:firstRow="1" w:lastRow="0" w:firstColumn="1" w:lastColumn="0" w:noHBand="0" w:noVBand="1"/>
      </w:tblPr>
      <w:tblGrid>
        <w:gridCol w:w="9576"/>
      </w:tblGrid>
      <w:tr w:rsidR="007B47FA" w:rsidTr="006C32CE">
        <w:tc>
          <w:tcPr>
            <w:tcW w:w="9576" w:type="dxa"/>
          </w:tcPr>
          <w:p w:rsidR="007B47FA" w:rsidRPr="00976D1D" w:rsidRDefault="00625C8E" w:rsidP="006C32CE">
            <w:pPr>
              <w:pStyle w:val="NoSpacing"/>
            </w:pPr>
            <w:r w:rsidRPr="00625C8E">
              <w:rPr>
                <w:b/>
              </w:rPr>
              <w:t>During class, cell phones must be turned off and out of sight</w:t>
            </w:r>
            <w:r w:rsidRPr="00625C8E">
              <w:t>.    Please make me</w:t>
            </w:r>
            <w:r>
              <w:t xml:space="preserve"> </w:t>
            </w:r>
            <w:r w:rsidRPr="00625C8E">
              <w:t>aware ahead of time if you need access to these devices.  If I determine that</w:t>
            </w:r>
            <w:r>
              <w:t xml:space="preserve"> </w:t>
            </w:r>
            <w:r w:rsidRPr="00625C8E">
              <w:t>cell phones are becoming a problem during class time, I will give the class a quiz over all recent topics daily until cell phones are no longer an issue.</w:t>
            </w:r>
          </w:p>
        </w:tc>
      </w:tr>
    </w:tbl>
    <w:p w:rsidR="007B47FA" w:rsidRDefault="007B47FA" w:rsidP="00771E69">
      <w:pPr>
        <w:pStyle w:val="NoSpacing"/>
        <w:rPr>
          <w:b/>
        </w:rPr>
      </w:pPr>
    </w:p>
    <w:p w:rsidR="00976D1D" w:rsidRPr="0070398A" w:rsidRDefault="007F31AE" w:rsidP="00771E69">
      <w:pPr>
        <w:pStyle w:val="NoSpacing"/>
      </w:pPr>
      <w:r>
        <w:rPr>
          <w:b/>
        </w:rPr>
        <w:t>Course Schedule</w:t>
      </w:r>
      <w:r w:rsidR="0070398A">
        <w:rPr>
          <w:b/>
        </w:rPr>
        <w:t xml:space="preserve"> – </w:t>
      </w:r>
      <w:r w:rsidR="0070398A">
        <w:t>See</w:t>
      </w:r>
      <w:r w:rsidR="0070398A" w:rsidRPr="0070398A">
        <w:rPr>
          <w:i/>
        </w:rPr>
        <w:t xml:space="preserve"> MTH121Q - 202 Course Calendar</w:t>
      </w:r>
      <w:bookmarkStart w:id="0" w:name="_GoBack"/>
      <w:bookmarkEnd w:id="0"/>
    </w:p>
    <w:sectPr w:rsidR="00976D1D" w:rsidRPr="0070398A" w:rsidSect="00625C8E">
      <w:footerReference w:type="default" r:id="rId1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9A" w:rsidRDefault="000C309A" w:rsidP="000C309A">
      <w:pPr>
        <w:spacing w:after="0" w:line="240" w:lineRule="auto"/>
      </w:pPr>
      <w:r>
        <w:separator/>
      </w:r>
    </w:p>
  </w:endnote>
  <w:endnote w:type="continuationSeparator" w:id="0">
    <w:p w:rsidR="000C309A" w:rsidRDefault="000C309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learface-Regular-DT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70398A">
          <w:rPr>
            <w:noProof/>
          </w:rPr>
          <w:t>3</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9A" w:rsidRDefault="000C309A" w:rsidP="000C309A">
      <w:pPr>
        <w:spacing w:after="0" w:line="240" w:lineRule="auto"/>
      </w:pPr>
      <w:r>
        <w:separator/>
      </w:r>
    </w:p>
  </w:footnote>
  <w:footnote w:type="continuationSeparator" w:id="0">
    <w:p w:rsidR="000C309A" w:rsidRDefault="000C309A"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F0DBB"/>
    <w:multiLevelType w:val="hybridMultilevel"/>
    <w:tmpl w:val="BFE4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40478"/>
    <w:multiLevelType w:val="hybridMultilevel"/>
    <w:tmpl w:val="D00C1C6A"/>
    <w:lvl w:ilvl="0" w:tplc="DB7A779A">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76DCC"/>
    <w:multiLevelType w:val="hybridMultilevel"/>
    <w:tmpl w:val="E6AC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C0B2E"/>
    <w:multiLevelType w:val="hybridMultilevel"/>
    <w:tmpl w:val="11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0"/>
  </w:num>
  <w:num w:numId="5">
    <w:abstractNumId w:val="3"/>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15278"/>
    <w:rsid w:val="000C309A"/>
    <w:rsid w:val="000D027D"/>
    <w:rsid w:val="000F1EFE"/>
    <w:rsid w:val="00291B5F"/>
    <w:rsid w:val="002A3F33"/>
    <w:rsid w:val="00437479"/>
    <w:rsid w:val="005624BB"/>
    <w:rsid w:val="005835F3"/>
    <w:rsid w:val="00625C8E"/>
    <w:rsid w:val="0070398A"/>
    <w:rsid w:val="007273FE"/>
    <w:rsid w:val="00771E69"/>
    <w:rsid w:val="007B47FA"/>
    <w:rsid w:val="007F31AE"/>
    <w:rsid w:val="008C39A8"/>
    <w:rsid w:val="00911133"/>
    <w:rsid w:val="00976D1D"/>
    <w:rsid w:val="009A3523"/>
    <w:rsid w:val="00AA76F8"/>
    <w:rsid w:val="00AC5047"/>
    <w:rsid w:val="00CB0F8B"/>
    <w:rsid w:val="00CF6C0E"/>
    <w:rsid w:val="00D402CD"/>
    <w:rsid w:val="00D87046"/>
    <w:rsid w:val="00DC3DFA"/>
    <w:rsid w:val="00E50080"/>
    <w:rsid w:val="00EC5078"/>
    <w:rsid w:val="00F71F15"/>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paragraph" w:styleId="Title">
    <w:name w:val="Title"/>
    <w:basedOn w:val="Normal"/>
    <w:link w:val="TitleChar"/>
    <w:qFormat/>
    <w:rsid w:val="00911133"/>
    <w:pPr>
      <w:spacing w:after="0" w:line="240" w:lineRule="auto"/>
      <w:jc w:val="center"/>
    </w:pPr>
    <w:rPr>
      <w:rFonts w:ascii="Century Gothic" w:eastAsia="Times New Roman" w:hAnsi="Century Gothic" w:cs="Times New Roman"/>
      <w:b/>
      <w:bCs/>
      <w:sz w:val="24"/>
      <w:szCs w:val="24"/>
    </w:rPr>
  </w:style>
  <w:style w:type="character" w:customStyle="1" w:styleId="TitleChar">
    <w:name w:val="Title Char"/>
    <w:basedOn w:val="DefaultParagraphFont"/>
    <w:link w:val="Title"/>
    <w:rsid w:val="00911133"/>
    <w:rPr>
      <w:rFonts w:ascii="Century Gothic" w:eastAsia="Times New Roman" w:hAnsi="Century Gothic" w:cs="Times New Roman"/>
      <w:b/>
      <w:bCs/>
      <w:sz w:val="24"/>
      <w:szCs w:val="24"/>
    </w:rPr>
  </w:style>
  <w:style w:type="character" w:styleId="Strong">
    <w:name w:val="Strong"/>
    <w:basedOn w:val="DefaultParagraphFont"/>
    <w:uiPriority w:val="22"/>
    <w:qFormat/>
    <w:rsid w:val="000D027D"/>
    <w:rPr>
      <w:b/>
      <w:bCs/>
    </w:rPr>
  </w:style>
  <w:style w:type="paragraph" w:styleId="ListParagraph">
    <w:name w:val="List Paragraph"/>
    <w:basedOn w:val="Normal"/>
    <w:uiPriority w:val="34"/>
    <w:qFormat/>
    <w:rsid w:val="0001527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paragraph" w:styleId="Title">
    <w:name w:val="Title"/>
    <w:basedOn w:val="Normal"/>
    <w:link w:val="TitleChar"/>
    <w:qFormat/>
    <w:rsid w:val="00911133"/>
    <w:pPr>
      <w:spacing w:after="0" w:line="240" w:lineRule="auto"/>
      <w:jc w:val="center"/>
    </w:pPr>
    <w:rPr>
      <w:rFonts w:ascii="Century Gothic" w:eastAsia="Times New Roman" w:hAnsi="Century Gothic" w:cs="Times New Roman"/>
      <w:b/>
      <w:bCs/>
      <w:sz w:val="24"/>
      <w:szCs w:val="24"/>
    </w:rPr>
  </w:style>
  <w:style w:type="character" w:customStyle="1" w:styleId="TitleChar">
    <w:name w:val="Title Char"/>
    <w:basedOn w:val="DefaultParagraphFont"/>
    <w:link w:val="Title"/>
    <w:rsid w:val="00911133"/>
    <w:rPr>
      <w:rFonts w:ascii="Century Gothic" w:eastAsia="Times New Roman" w:hAnsi="Century Gothic" w:cs="Times New Roman"/>
      <w:b/>
      <w:bCs/>
      <w:sz w:val="24"/>
      <w:szCs w:val="24"/>
    </w:rPr>
  </w:style>
  <w:style w:type="character" w:styleId="Strong">
    <w:name w:val="Strong"/>
    <w:basedOn w:val="DefaultParagraphFont"/>
    <w:uiPriority w:val="22"/>
    <w:qFormat/>
    <w:rsid w:val="000D027D"/>
    <w:rPr>
      <w:b/>
      <w:bCs/>
    </w:rPr>
  </w:style>
  <w:style w:type="paragraph" w:styleId="ListParagraph">
    <w:name w:val="List Paragraph"/>
    <w:basedOn w:val="Normal"/>
    <w:uiPriority w:val="34"/>
    <w:qFormat/>
    <w:rsid w:val="0001527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marshall.edu/academic-affairs/polici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rshall.edu/academic-affairs"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1B51-2B0F-4864-9173-401C1259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Tracy</cp:lastModifiedBy>
  <cp:revision>6</cp:revision>
  <dcterms:created xsi:type="dcterms:W3CDTF">2015-01-05T20:57:00Z</dcterms:created>
  <dcterms:modified xsi:type="dcterms:W3CDTF">2015-01-06T15:59:00Z</dcterms:modified>
</cp:coreProperties>
</file>