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CD17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46D1BB27" w14:textId="77777777" w:rsidR="008E6EE1" w:rsidRPr="00E21A0F" w:rsidRDefault="008E6EE1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40992A7B" w14:textId="77777777" w:rsidTr="002C2389">
        <w:tc>
          <w:tcPr>
            <w:tcW w:w="2340" w:type="dxa"/>
          </w:tcPr>
          <w:p w14:paraId="7705B22A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090DDC9" w14:textId="1CF47B7C" w:rsidR="00866B26" w:rsidRPr="000E404E" w:rsidRDefault="000E404E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t>MTH 099-202 CRN: 4669</w:t>
            </w:r>
          </w:p>
        </w:tc>
      </w:tr>
      <w:tr w:rsidR="00866B26" w:rsidRPr="00E21A0F" w14:paraId="67F1A5A2" w14:textId="77777777" w:rsidTr="002C2389">
        <w:tc>
          <w:tcPr>
            <w:tcW w:w="2340" w:type="dxa"/>
          </w:tcPr>
          <w:p w14:paraId="4EFF8EF1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3D1BA0B9" w14:textId="52B8DEB6" w:rsidR="00866B26" w:rsidRPr="00E21A0F" w:rsidRDefault="000E404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t>Spring 2014</w:t>
            </w:r>
          </w:p>
        </w:tc>
      </w:tr>
      <w:tr w:rsidR="00866B26" w:rsidRPr="00E21A0F" w14:paraId="064F068B" w14:textId="77777777" w:rsidTr="002C2389">
        <w:tc>
          <w:tcPr>
            <w:tcW w:w="2340" w:type="dxa"/>
          </w:tcPr>
          <w:p w14:paraId="3C6C1C2E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1A81F2DF" w14:textId="0BB9CAF3" w:rsidR="00866B26" w:rsidRPr="00E21A0F" w:rsidRDefault="000E404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t>MWF 9:00-9:50</w:t>
            </w:r>
          </w:p>
        </w:tc>
      </w:tr>
      <w:tr w:rsidR="00866B26" w:rsidRPr="00E21A0F" w14:paraId="39A0E8C5" w14:textId="77777777" w:rsidTr="002C2389">
        <w:tc>
          <w:tcPr>
            <w:tcW w:w="2340" w:type="dxa"/>
          </w:tcPr>
          <w:p w14:paraId="20BAB872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3642BEDD" w14:textId="24FAC7C6" w:rsidR="00866B26" w:rsidRPr="00E21A0F" w:rsidRDefault="000E404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t>SH 621</w:t>
            </w:r>
          </w:p>
        </w:tc>
      </w:tr>
      <w:tr w:rsidR="00866B26" w:rsidRPr="00E21A0F" w14:paraId="0545E871" w14:textId="77777777" w:rsidTr="002C2389">
        <w:tc>
          <w:tcPr>
            <w:tcW w:w="2340" w:type="dxa"/>
          </w:tcPr>
          <w:p w14:paraId="6D0EA827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6655D128" w14:textId="6948B629" w:rsidR="00866B26" w:rsidRPr="00E21A0F" w:rsidRDefault="000E404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t>Patrick Stewart</w:t>
            </w:r>
          </w:p>
        </w:tc>
      </w:tr>
      <w:tr w:rsidR="00866B26" w:rsidRPr="00E21A0F" w14:paraId="1B8BED5A" w14:textId="77777777" w:rsidTr="002C2389">
        <w:tc>
          <w:tcPr>
            <w:tcW w:w="2340" w:type="dxa"/>
          </w:tcPr>
          <w:p w14:paraId="65F2E2A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31EE3C4C" w14:textId="77777777"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Music 115</w:t>
            </w:r>
          </w:p>
        </w:tc>
      </w:tr>
      <w:tr w:rsidR="00866B26" w:rsidRPr="00E21A0F" w14:paraId="204AC6D0" w14:textId="77777777" w:rsidTr="002C2389">
        <w:tc>
          <w:tcPr>
            <w:tcW w:w="2340" w:type="dxa"/>
          </w:tcPr>
          <w:p w14:paraId="621D62F2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1C69C22C" w14:textId="77777777"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304 696-3986</w:t>
            </w:r>
          </w:p>
        </w:tc>
      </w:tr>
      <w:tr w:rsidR="00866B26" w:rsidRPr="00E21A0F" w14:paraId="6586EAA1" w14:textId="77777777" w:rsidTr="002C2389">
        <w:tc>
          <w:tcPr>
            <w:tcW w:w="2340" w:type="dxa"/>
          </w:tcPr>
          <w:p w14:paraId="6FB9CF35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464F268E" w14:textId="3C8CB3D9" w:rsidR="00866B26" w:rsidRPr="00E21A0F" w:rsidRDefault="000E404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t>Stewart152@marshall.edu</w:t>
            </w:r>
          </w:p>
        </w:tc>
      </w:tr>
      <w:tr w:rsidR="00866B26" w:rsidRPr="00E21A0F" w14:paraId="5CA003C0" w14:textId="77777777" w:rsidTr="002C2389">
        <w:tc>
          <w:tcPr>
            <w:tcW w:w="2340" w:type="dxa"/>
          </w:tcPr>
          <w:p w14:paraId="03E4028D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5D428974" w14:textId="2126FB30" w:rsidR="00866B26" w:rsidRPr="00E21A0F" w:rsidRDefault="000E404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t>Tuesday 1:00-2:00, Wednesday 4:00-5:00, Thursday 1:00-2:00 3:30-4:30</w:t>
            </w:r>
          </w:p>
        </w:tc>
      </w:tr>
      <w:tr w:rsidR="00FF6464" w:rsidRPr="00E21A0F" w14:paraId="39795046" w14:textId="77777777" w:rsidTr="002C2389">
        <w:tc>
          <w:tcPr>
            <w:tcW w:w="2340" w:type="dxa"/>
          </w:tcPr>
          <w:p w14:paraId="01BCCA13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2A0EEE7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</w:t>
              </w:r>
              <w:r w:rsidR="00DA62D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l.edu/academic-affairs/policies</w:t>
              </w:r>
            </w:hyperlink>
          </w:p>
          <w:p w14:paraId="32F9F002" w14:textId="77777777" w:rsidR="00FF6464" w:rsidRPr="00E21A0F" w:rsidRDefault="00DA62DE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DA62DE">
              <w:rPr>
                <w:rFonts w:asciiTheme="minorHAnsi" w:hAnsiTheme="minorHAnsi"/>
                <w:b/>
                <w:sz w:val="22"/>
                <w:szCs w:val="22"/>
              </w:rPr>
              <w:t>University Policies: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Academic Dishonesty,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Excused Abs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ence Policy for Undergraduates,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/>
                <w:sz w:val="22"/>
                <w:szCs w:val="22"/>
              </w:rPr>
              <w:t>mputing Services Acceptable Use, Inclement Weather, Dead Week,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>
              <w:rPr>
                <w:rFonts w:asciiTheme="minorHAnsi" w:hAnsiTheme="minorHAnsi"/>
                <w:sz w:val="22"/>
                <w:szCs w:val="22"/>
              </w:rPr>
              <w:t>, Academic Forgiveness,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>
              <w:rPr>
                <w:rFonts w:asciiTheme="minorHAnsi" w:hAnsiTheme="minorHAnsi"/>
                <w:sz w:val="22"/>
                <w:szCs w:val="22"/>
              </w:rPr>
              <w:t>ademic Probation and Suspension,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Academic Rights and Responsibilities </w:t>
            </w:r>
            <w:r>
              <w:rPr>
                <w:rFonts w:asciiTheme="minorHAnsi" w:hAnsiTheme="minorHAnsi"/>
                <w:sz w:val="22"/>
                <w:szCs w:val="22"/>
              </w:rPr>
              <w:t>of Students,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7E095535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716D2E8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641486F3" w14:textId="77777777" w:rsidTr="002C2389">
        <w:tc>
          <w:tcPr>
            <w:tcW w:w="10260" w:type="dxa"/>
          </w:tcPr>
          <w:p w14:paraId="51A5E379" w14:textId="283B2322" w:rsidR="002C2389" w:rsidRPr="00E21A0F" w:rsidRDefault="000E404E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t xml:space="preserve">The purpose of this course is to prepare students with low placement test scores to take college level mathematics courses required in their program of study.  </w:t>
            </w:r>
          </w:p>
        </w:tc>
      </w:tr>
    </w:tbl>
    <w:p w14:paraId="028A0AFF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4D48FA3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69972021" w14:textId="77777777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4B437D0B" w14:textId="77777777" w:rsidTr="0062290A">
        <w:trPr>
          <w:trHeight w:val="512"/>
        </w:trPr>
        <w:tc>
          <w:tcPr>
            <w:tcW w:w="3240" w:type="dxa"/>
          </w:tcPr>
          <w:p w14:paraId="65B8807F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722675FB" w14:textId="77777777" w:rsidR="00E21A0F" w:rsidRPr="00656C46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r w:rsidRPr="00656C46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 w:rsidRPr="00656C46">
              <w:rPr>
                <w:rFonts w:asciiTheme="minorHAnsi" w:hAnsiTheme="minorHAnsi"/>
                <w:b/>
                <w:sz w:val="22"/>
                <w:szCs w:val="22"/>
              </w:rPr>
              <w:t>students will p</w:t>
            </w:r>
            <w:r w:rsidRPr="00656C46">
              <w:rPr>
                <w:rFonts w:asciiTheme="minorHAnsi" w:hAnsiTheme="minorHAnsi"/>
                <w:b/>
                <w:sz w:val="22"/>
                <w:szCs w:val="22"/>
              </w:rPr>
              <w:t>ractice</w:t>
            </w:r>
            <w:r w:rsidR="00712F82" w:rsidRPr="00656C4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656C46">
              <w:rPr>
                <w:rFonts w:asciiTheme="minorHAnsi" w:hAnsiTheme="minorHAnsi"/>
                <w:b/>
                <w:sz w:val="22"/>
                <w:szCs w:val="22"/>
              </w:rPr>
              <w:t>each outcome</w:t>
            </w:r>
            <w:r w:rsidRPr="00656C46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  <w:bookmarkEnd w:id="0"/>
          </w:p>
        </w:tc>
        <w:tc>
          <w:tcPr>
            <w:tcW w:w="2880" w:type="dxa"/>
          </w:tcPr>
          <w:p w14:paraId="488902F6" w14:textId="77777777" w:rsidR="00E21A0F" w:rsidRPr="00656C46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56C46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 w:rsidRPr="00656C46">
              <w:rPr>
                <w:rFonts w:asciiTheme="minorHAnsi" w:hAnsiTheme="minorHAnsi"/>
                <w:b/>
                <w:sz w:val="22"/>
                <w:szCs w:val="22"/>
              </w:rPr>
              <w:t>student achievement of each outcome will be  a</w:t>
            </w:r>
            <w:r w:rsidRPr="00656C46">
              <w:rPr>
                <w:rFonts w:asciiTheme="minorHAnsi" w:hAnsiTheme="minorHAnsi"/>
                <w:b/>
                <w:sz w:val="22"/>
                <w:szCs w:val="22"/>
              </w:rPr>
              <w:t>ssessed  in this Course</w:t>
            </w:r>
          </w:p>
        </w:tc>
      </w:tr>
      <w:tr w:rsidR="00E21A0F" w:rsidRPr="00E21A0F" w14:paraId="1658642F" w14:textId="77777777" w:rsidTr="0062290A">
        <w:tc>
          <w:tcPr>
            <w:tcW w:w="3240" w:type="dxa"/>
          </w:tcPr>
          <w:p w14:paraId="7720FB7D" w14:textId="115495D1" w:rsidR="00E21A0F" w:rsidRPr="00E21A0F" w:rsidRDefault="000E404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0E40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E404E">
              <w:rPr>
                <w:rFonts w:asciiTheme="minorHAnsi" w:hAnsiTheme="minorHAnsi"/>
                <w:sz w:val="22"/>
                <w:szCs w:val="22"/>
              </w:rPr>
              <w:t>categorize expressions versus equations, employing appropriate mathematical properties to demonstrate an understanding of linear expressions and equations;</w:t>
            </w:r>
          </w:p>
        </w:tc>
        <w:tc>
          <w:tcPr>
            <w:tcW w:w="4140" w:type="dxa"/>
          </w:tcPr>
          <w:p w14:paraId="52B859BF" w14:textId="17A8C3EC" w:rsidR="00712F82" w:rsidRPr="00E21A0F" w:rsidRDefault="000E404E" w:rsidP="000E404E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t>Classroom discussion, in-class exercises</w:t>
            </w:r>
          </w:p>
        </w:tc>
        <w:tc>
          <w:tcPr>
            <w:tcW w:w="2880" w:type="dxa"/>
          </w:tcPr>
          <w:p w14:paraId="0557DA25" w14:textId="6587A994" w:rsidR="00E21A0F" w:rsidRPr="00E21A0F" w:rsidRDefault="000E404E" w:rsidP="000E404E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t>Homework, Exams, Quizzes</w:t>
            </w:r>
          </w:p>
        </w:tc>
      </w:tr>
      <w:tr w:rsidR="00E21A0F" w:rsidRPr="00E21A0F" w14:paraId="280806D3" w14:textId="77777777" w:rsidTr="0062290A">
        <w:tc>
          <w:tcPr>
            <w:tcW w:w="3240" w:type="dxa"/>
          </w:tcPr>
          <w:p w14:paraId="58080F07" w14:textId="073D57DA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0E404E" w:rsidRPr="000E404E">
              <w:rPr>
                <w:rFonts w:asciiTheme="minorHAnsi" w:hAnsiTheme="minorHAnsi"/>
                <w:sz w:val="22"/>
                <w:szCs w:val="22"/>
              </w:rPr>
              <w:t>employ appropriate mathematical properties to demonstrate an advanced understanding of the operations on and simplification of polynomial, rational, and radical expressions, including factoring;</w:t>
            </w:r>
          </w:p>
        </w:tc>
        <w:tc>
          <w:tcPr>
            <w:tcW w:w="4140" w:type="dxa"/>
          </w:tcPr>
          <w:p w14:paraId="483562F9" w14:textId="5CB7BD37" w:rsidR="00E21A0F" w:rsidRPr="00E21A0F" w:rsidRDefault="000E404E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t>Classroom discussion, in-class exercises</w:t>
            </w:r>
          </w:p>
        </w:tc>
        <w:tc>
          <w:tcPr>
            <w:tcW w:w="2880" w:type="dxa"/>
          </w:tcPr>
          <w:p w14:paraId="4322C5B8" w14:textId="236D92B6" w:rsidR="00E21A0F" w:rsidRPr="00E21A0F" w:rsidRDefault="000E404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t>Homework, Exams, Quizzes</w:t>
            </w:r>
          </w:p>
        </w:tc>
      </w:tr>
      <w:tr w:rsidR="00E21A0F" w:rsidRPr="00E21A0F" w14:paraId="23F27697" w14:textId="77777777" w:rsidTr="0062290A">
        <w:trPr>
          <w:trHeight w:val="224"/>
        </w:trPr>
        <w:tc>
          <w:tcPr>
            <w:tcW w:w="3240" w:type="dxa"/>
          </w:tcPr>
          <w:p w14:paraId="56FAA478" w14:textId="5AC641AD"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0E404E">
              <w:rPr>
                <w:rFonts w:asciiTheme="minorHAnsi" w:hAnsiTheme="minorHAnsi"/>
                <w:bCs/>
                <w:sz w:val="22"/>
                <w:szCs w:val="22"/>
              </w:rPr>
              <w:t>articu</w:t>
            </w:r>
            <w:r w:rsidR="000E404E" w:rsidRPr="000E404E">
              <w:rPr>
                <w:rFonts w:asciiTheme="minorHAnsi" w:hAnsiTheme="minorHAnsi"/>
                <w:sz w:val="22"/>
                <w:szCs w:val="22"/>
              </w:rPr>
              <w:t xml:space="preserve">late algebraic </w:t>
            </w:r>
            <w:r w:rsidR="000E404E" w:rsidRPr="000E404E">
              <w:rPr>
                <w:rFonts w:asciiTheme="minorHAnsi" w:hAnsiTheme="minorHAnsi"/>
                <w:sz w:val="22"/>
                <w:szCs w:val="22"/>
              </w:rPr>
              <w:lastRenderedPageBreak/>
              <w:t>meanings for the solutions to linear, quadratic, rational, and radical equations, and also provide graphical representations for the solution(s) to linear equations;</w:t>
            </w:r>
          </w:p>
        </w:tc>
        <w:tc>
          <w:tcPr>
            <w:tcW w:w="4140" w:type="dxa"/>
          </w:tcPr>
          <w:p w14:paraId="688464EF" w14:textId="0FE2E144" w:rsidR="00E21A0F" w:rsidRPr="00E21A0F" w:rsidRDefault="000E404E" w:rsidP="000E404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lastRenderedPageBreak/>
              <w:t>Classroom discussion, in-class exercises</w:t>
            </w:r>
          </w:p>
        </w:tc>
        <w:tc>
          <w:tcPr>
            <w:tcW w:w="2880" w:type="dxa"/>
          </w:tcPr>
          <w:p w14:paraId="3A2120C2" w14:textId="3DA206F7" w:rsidR="00E21A0F" w:rsidRPr="00E21A0F" w:rsidRDefault="000E404E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t>Homework, Exams, Quizzes</w:t>
            </w:r>
          </w:p>
        </w:tc>
      </w:tr>
      <w:tr w:rsidR="00E21A0F" w:rsidRPr="00E21A0F" w14:paraId="58397AF7" w14:textId="77777777" w:rsidTr="0062290A">
        <w:tc>
          <w:tcPr>
            <w:tcW w:w="3240" w:type="dxa"/>
          </w:tcPr>
          <w:p w14:paraId="27BC369B" w14:textId="42C4EC44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lastRenderedPageBreak/>
              <w:t>Students will</w:t>
            </w:r>
            <w:r w:rsidR="000E404E" w:rsidRPr="000E40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404E" w:rsidRPr="000E404E">
              <w:rPr>
                <w:rFonts w:asciiTheme="minorHAnsi" w:hAnsiTheme="minorHAnsi"/>
                <w:sz w:val="22"/>
                <w:szCs w:val="22"/>
              </w:rPr>
              <w:t>assimilate information, individually or in a group, from a variety of sources to formulate successful study skills and problem solving strategies.</w:t>
            </w:r>
          </w:p>
        </w:tc>
        <w:tc>
          <w:tcPr>
            <w:tcW w:w="4140" w:type="dxa"/>
          </w:tcPr>
          <w:p w14:paraId="7A87912D" w14:textId="0DE8B1F7" w:rsidR="00E21A0F" w:rsidRPr="00E21A0F" w:rsidRDefault="000E404E" w:rsidP="000E404E">
            <w:pPr>
              <w:tabs>
                <w:tab w:val="left" w:pos="1470"/>
              </w:tabs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t>Classroom discussion, in-class exercises</w:t>
            </w:r>
          </w:p>
        </w:tc>
        <w:tc>
          <w:tcPr>
            <w:tcW w:w="2880" w:type="dxa"/>
          </w:tcPr>
          <w:p w14:paraId="3DD96661" w14:textId="0BF20A13" w:rsidR="00E21A0F" w:rsidRPr="00E21A0F" w:rsidRDefault="000E404E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4E">
              <w:rPr>
                <w:rFonts w:asciiTheme="minorHAnsi" w:hAnsiTheme="minorHAnsi"/>
                <w:sz w:val="22"/>
                <w:szCs w:val="22"/>
              </w:rPr>
              <w:t>Homework, Exams, Quizzes</w:t>
            </w:r>
          </w:p>
        </w:tc>
      </w:tr>
    </w:tbl>
    <w:p w14:paraId="31A65D7B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65D0575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A7482C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11278220" w14:textId="77777777" w:rsidTr="008613BC">
        <w:tc>
          <w:tcPr>
            <w:tcW w:w="10260" w:type="dxa"/>
          </w:tcPr>
          <w:p w14:paraId="6108CE89" w14:textId="77777777" w:rsidR="000E404E" w:rsidRPr="000E404E" w:rsidRDefault="000E404E" w:rsidP="000E404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0E404E">
              <w:rPr>
                <w:rFonts w:asciiTheme="minorHAnsi" w:hAnsiTheme="minorHAnsi"/>
              </w:rPr>
              <w:t xml:space="preserve">Introductory </w:t>
            </w:r>
            <w:proofErr w:type="gramStart"/>
            <w:r w:rsidRPr="000E404E">
              <w:rPr>
                <w:rFonts w:asciiTheme="minorHAnsi" w:hAnsiTheme="minorHAnsi"/>
              </w:rPr>
              <w:t>Algebra  2nd</w:t>
            </w:r>
            <w:proofErr w:type="gramEnd"/>
            <w:r w:rsidRPr="000E404E">
              <w:rPr>
                <w:rFonts w:asciiTheme="minorHAnsi" w:hAnsiTheme="minorHAnsi"/>
              </w:rPr>
              <w:t xml:space="preserve"> Edition.  2009. Miller, O’Neil, Hyde. ISBN#: 0073406309</w:t>
            </w:r>
          </w:p>
          <w:p w14:paraId="3340A7D2" w14:textId="77777777" w:rsidR="000E404E" w:rsidRPr="000E404E" w:rsidRDefault="000E404E" w:rsidP="000E404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0E404E">
              <w:rPr>
                <w:rFonts w:asciiTheme="minorHAnsi" w:hAnsiTheme="minorHAnsi"/>
              </w:rPr>
              <w:t>CONNECT MATH Access Code – ISBN#: 9780077543785</w:t>
            </w:r>
          </w:p>
          <w:p w14:paraId="5272F81B" w14:textId="77777777" w:rsidR="000E404E" w:rsidRPr="000E404E" w:rsidRDefault="000E404E" w:rsidP="000E404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0E404E">
              <w:rPr>
                <w:rFonts w:asciiTheme="minorHAnsi" w:hAnsiTheme="minorHAnsi"/>
              </w:rPr>
              <w:t>CONNECT MATH Class Access Code: 6HYTH-4ARYQ</w:t>
            </w:r>
          </w:p>
          <w:p w14:paraId="6CF514AF" w14:textId="127E387E" w:rsidR="00F7497C" w:rsidRPr="000E404E" w:rsidRDefault="000E404E" w:rsidP="000E404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0E404E">
              <w:rPr>
                <w:rFonts w:asciiTheme="minorHAnsi" w:hAnsiTheme="minorHAnsi"/>
              </w:rPr>
              <w:t>CONNECT MATH Temporary Access Code: 99EE3-309BC-60A7E-D6A00</w:t>
            </w:r>
          </w:p>
        </w:tc>
      </w:tr>
    </w:tbl>
    <w:p w14:paraId="33B7C58A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2C2216A7" w14:textId="77777777"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4E3BA0" w:rsidRPr="00E21A0F" w14:paraId="065CCC8C" w14:textId="77777777" w:rsidTr="008613BC">
        <w:tc>
          <w:tcPr>
            <w:tcW w:w="10170" w:type="dxa"/>
          </w:tcPr>
          <w:p w14:paraId="32CBBE24" w14:textId="28D57FA3" w:rsidR="004E3BA0" w:rsidRPr="00E21A0F" w:rsidRDefault="000E404E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Quizzes – every Friday</w:t>
            </w:r>
          </w:p>
          <w:p w14:paraId="4D4A2AC4" w14:textId="4449F214" w:rsidR="00F7497C" w:rsidRPr="00E21A0F" w:rsidRDefault="000E404E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Exams – 2/7, 3/7, 4/11</w:t>
            </w:r>
          </w:p>
          <w:p w14:paraId="31578A2E" w14:textId="4E5CFF94" w:rsidR="00F7497C" w:rsidRPr="00E21A0F" w:rsidRDefault="000E404E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Exam – 5/3 at 2:00 PM</w:t>
            </w:r>
          </w:p>
        </w:tc>
      </w:tr>
    </w:tbl>
    <w:p w14:paraId="311FD56D" w14:textId="77777777" w:rsidR="00DA4E24" w:rsidRPr="00E21A0F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D4B83C6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DA4E24" w:rsidRPr="00E21A0F" w14:paraId="606D9B85" w14:textId="77777777" w:rsidTr="00CA2DB0">
        <w:tc>
          <w:tcPr>
            <w:tcW w:w="10098" w:type="dxa"/>
          </w:tcPr>
          <w:p w14:paraId="450B2037" w14:textId="7CEB29CC" w:rsidR="00DA4E24" w:rsidRDefault="000E404E" w:rsidP="00DA4E2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Credit: 75% or higher overall</w:t>
            </w:r>
          </w:p>
          <w:p w14:paraId="315F724E" w14:textId="77777777" w:rsidR="00F7497C" w:rsidRDefault="000E404E" w:rsidP="000E404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No Credit: less than 75% overall</w:t>
            </w:r>
          </w:p>
          <w:p w14:paraId="2D399D6E" w14:textId="77777777" w:rsidR="000E404E" w:rsidRDefault="000E404E" w:rsidP="000E404E">
            <w:pPr>
              <w:pStyle w:val="NoSpacing"/>
              <w:rPr>
                <w:rFonts w:cs="Times New Roman"/>
              </w:rPr>
            </w:pPr>
          </w:p>
          <w:p w14:paraId="799D1DEC" w14:textId="77777777" w:rsidR="000E404E" w:rsidRDefault="000E404E" w:rsidP="000E404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Exams: 30%</w:t>
            </w:r>
          </w:p>
          <w:p w14:paraId="1B91E78A" w14:textId="77777777" w:rsidR="000E404E" w:rsidRDefault="000E404E" w:rsidP="000E404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Final: 30%</w:t>
            </w:r>
          </w:p>
          <w:p w14:paraId="22283E4F" w14:textId="77777777" w:rsidR="000E404E" w:rsidRDefault="000E404E" w:rsidP="000E404E">
            <w:pPr>
              <w:pStyle w:val="NoSpacing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ConnectMath</w:t>
            </w:r>
            <w:proofErr w:type="spellEnd"/>
            <w:r>
              <w:rPr>
                <w:rFonts w:cs="Times New Roman"/>
              </w:rPr>
              <w:t>: 20%</w:t>
            </w:r>
          </w:p>
          <w:p w14:paraId="56DFBD4A" w14:textId="64AF73CA" w:rsidR="000E404E" w:rsidRPr="00E21A0F" w:rsidRDefault="000E404E" w:rsidP="000E404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Quizzes: 20%</w:t>
            </w:r>
          </w:p>
        </w:tc>
      </w:tr>
    </w:tbl>
    <w:p w14:paraId="67F41CC6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B00C182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2C2389" w:rsidRPr="00E21A0F" w14:paraId="5E0B6707" w14:textId="77777777" w:rsidTr="002C2389">
        <w:tc>
          <w:tcPr>
            <w:tcW w:w="9990" w:type="dxa"/>
          </w:tcPr>
          <w:p w14:paraId="7D5C6E96" w14:textId="4471D9D3" w:rsidR="004C1F79" w:rsidRPr="000E404E" w:rsidRDefault="000E404E" w:rsidP="002C2389">
            <w:pPr>
              <w:rPr>
                <w:rFonts w:ascii="Times New Roman" w:hAnsi="Times New Roman"/>
                <w:sz w:val="22"/>
                <w:szCs w:val="22"/>
              </w:rPr>
            </w:pPr>
            <w:r w:rsidRPr="0039252F">
              <w:rPr>
                <w:rStyle w:val="Strong"/>
                <w:rFonts w:ascii="Times New Roman" w:hAnsi="Times New Roman"/>
                <w:b w:val="0"/>
                <w:sz w:val="22"/>
                <w:szCs w:val="22"/>
                <w:lang w:eastAsia="zh-CN"/>
              </w:rPr>
              <w:t>It is expected that each student shows up on time and is prepared for class. Attendance will be taken each day.  Attendance is necessary for the successful completion of this course.</w:t>
            </w:r>
            <w:r w:rsidRPr="000E404E">
              <w:rPr>
                <w:rStyle w:val="Strong"/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Pr="000E404E">
              <w:rPr>
                <w:rFonts w:ascii="Times New Roman" w:hAnsi="Times New Roman"/>
                <w:color w:val="000000"/>
                <w:sz w:val="22"/>
                <w:szCs w:val="22"/>
              </w:rPr>
              <w:t>A s</w:t>
            </w:r>
            <w:r w:rsidRPr="000E404E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tudent</w:t>
            </w:r>
            <w:r w:rsidRPr="000E40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may have an absence officially excused at The Office of Student Affairs, Memorial Student Center MSC 2W38.  </w:t>
            </w:r>
            <w:r w:rsidRPr="000E404E">
              <w:rPr>
                <w:rFonts w:ascii="Times New Roman" w:hAnsi="Times New Roman"/>
                <w:sz w:val="22"/>
                <w:szCs w:val="22"/>
              </w:rPr>
              <w:t xml:space="preserve">Students should come on time and stay in the class for the entire class period. Any student who is late by more than 5 minutes will be considered absent. </w:t>
            </w:r>
          </w:p>
        </w:tc>
      </w:tr>
    </w:tbl>
    <w:p w14:paraId="767C5F2A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1C5BD67B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A3FE8DB" w14:textId="77777777" w:rsidR="005C13F1" w:rsidRPr="00E21A0F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</w:p>
    <w:p w14:paraId="4A7B91A9" w14:textId="77777777" w:rsidR="0039252F" w:rsidRPr="0039252F" w:rsidRDefault="0039252F" w:rsidP="0039252F">
      <w:pPr>
        <w:rPr>
          <w:rFonts w:asciiTheme="minorHAnsi" w:hAnsiTheme="minorHAnsi"/>
          <w:b/>
          <w:sz w:val="22"/>
          <w:szCs w:val="22"/>
        </w:rPr>
      </w:pPr>
      <w:proofErr w:type="gramStart"/>
      <w:r w:rsidRPr="0039252F">
        <w:rPr>
          <w:rFonts w:asciiTheme="minorHAnsi" w:hAnsiTheme="minorHAnsi"/>
          <w:b/>
          <w:sz w:val="22"/>
          <w:szCs w:val="22"/>
        </w:rPr>
        <w:lastRenderedPageBreak/>
        <w:t>Course  Schedule</w:t>
      </w:r>
      <w:proofErr w:type="gramEnd"/>
    </w:p>
    <w:p w14:paraId="18C6AAEF" w14:textId="2AB8DE0C" w:rsidR="0039252F" w:rsidRPr="0039252F" w:rsidRDefault="0039252F" w:rsidP="0039252F">
      <w:pPr>
        <w:rPr>
          <w:rFonts w:asciiTheme="minorHAnsi" w:hAnsiTheme="minorHAnsi"/>
          <w:b/>
          <w:sz w:val="22"/>
          <w:szCs w:val="22"/>
        </w:rPr>
      </w:pPr>
      <w:r w:rsidRPr="0039252F">
        <w:rPr>
          <w:rFonts w:asciiTheme="minorHAnsi" w:hAnsiTheme="minorHAnsi"/>
          <w:b/>
          <w:sz w:val="22"/>
          <w:szCs w:val="22"/>
        </w:rPr>
        <w:t>Weeks 1</w:t>
      </w:r>
      <w:r>
        <w:rPr>
          <w:rFonts w:asciiTheme="minorHAnsi" w:hAnsiTheme="minorHAnsi"/>
          <w:b/>
          <w:sz w:val="22"/>
          <w:szCs w:val="22"/>
        </w:rPr>
        <w:t>-</w:t>
      </w:r>
      <w:r w:rsidRPr="0039252F">
        <w:rPr>
          <w:rFonts w:asciiTheme="minorHAnsi" w:hAnsiTheme="minorHAnsi"/>
          <w:b/>
          <w:sz w:val="22"/>
          <w:szCs w:val="22"/>
        </w:rPr>
        <w:t>5</w:t>
      </w:r>
    </w:p>
    <w:p w14:paraId="189863DD" w14:textId="77777777" w:rsidR="0039252F" w:rsidRPr="0039252F" w:rsidRDefault="0039252F" w:rsidP="0039252F">
      <w:pPr>
        <w:rPr>
          <w:rFonts w:asciiTheme="minorHAnsi" w:hAnsiTheme="minorHAnsi"/>
          <w:b/>
          <w:sz w:val="22"/>
          <w:szCs w:val="22"/>
        </w:rPr>
      </w:pPr>
      <w:r w:rsidRPr="0039252F">
        <w:rPr>
          <w:rFonts w:asciiTheme="minorHAnsi" w:hAnsiTheme="minorHAnsi"/>
          <w:b/>
          <w:sz w:val="22"/>
          <w:szCs w:val="22"/>
        </w:rPr>
        <w:t>Chapters R, 1, 2, 3</w:t>
      </w:r>
    </w:p>
    <w:p w14:paraId="2AA35B19" w14:textId="42EC4B29" w:rsidR="0039252F" w:rsidRPr="0039252F" w:rsidRDefault="0039252F" w:rsidP="0039252F">
      <w:pPr>
        <w:rPr>
          <w:rFonts w:asciiTheme="minorHAnsi" w:hAnsiTheme="minorHAnsi"/>
          <w:b/>
          <w:sz w:val="22"/>
          <w:szCs w:val="22"/>
        </w:rPr>
      </w:pPr>
      <w:r w:rsidRPr="0039252F">
        <w:rPr>
          <w:rFonts w:asciiTheme="minorHAnsi" w:hAnsiTheme="minorHAnsi"/>
          <w:b/>
          <w:sz w:val="22"/>
          <w:szCs w:val="22"/>
        </w:rPr>
        <w:t>Weeks 6-9</w:t>
      </w:r>
    </w:p>
    <w:p w14:paraId="57EA9197" w14:textId="77777777" w:rsidR="0039252F" w:rsidRPr="0039252F" w:rsidRDefault="0039252F" w:rsidP="0039252F">
      <w:pPr>
        <w:rPr>
          <w:rFonts w:asciiTheme="minorHAnsi" w:hAnsiTheme="minorHAnsi"/>
          <w:b/>
          <w:sz w:val="22"/>
          <w:szCs w:val="22"/>
        </w:rPr>
      </w:pPr>
      <w:r w:rsidRPr="0039252F">
        <w:rPr>
          <w:rFonts w:asciiTheme="minorHAnsi" w:hAnsiTheme="minorHAnsi"/>
          <w:b/>
          <w:sz w:val="22"/>
          <w:szCs w:val="22"/>
        </w:rPr>
        <w:t>Chapters 5, 6</w:t>
      </w:r>
    </w:p>
    <w:p w14:paraId="01A186CA" w14:textId="350E1977" w:rsidR="0039252F" w:rsidRPr="0039252F" w:rsidRDefault="0039252F" w:rsidP="0039252F">
      <w:pPr>
        <w:rPr>
          <w:rFonts w:asciiTheme="minorHAnsi" w:hAnsiTheme="minorHAnsi"/>
          <w:b/>
          <w:sz w:val="22"/>
          <w:szCs w:val="22"/>
        </w:rPr>
      </w:pPr>
      <w:r w:rsidRPr="0039252F">
        <w:rPr>
          <w:rFonts w:asciiTheme="minorHAnsi" w:hAnsiTheme="minorHAnsi"/>
          <w:b/>
          <w:sz w:val="22"/>
          <w:szCs w:val="22"/>
        </w:rPr>
        <w:t>Weeks 11-15</w:t>
      </w:r>
    </w:p>
    <w:p w14:paraId="2CBCA669" w14:textId="77777777" w:rsidR="0039252F" w:rsidRPr="0039252F" w:rsidRDefault="0039252F" w:rsidP="0039252F">
      <w:pPr>
        <w:rPr>
          <w:rFonts w:asciiTheme="minorHAnsi" w:hAnsiTheme="minorHAnsi"/>
          <w:b/>
          <w:sz w:val="22"/>
          <w:szCs w:val="22"/>
        </w:rPr>
      </w:pPr>
      <w:r w:rsidRPr="0039252F">
        <w:rPr>
          <w:rFonts w:asciiTheme="minorHAnsi" w:hAnsiTheme="minorHAnsi"/>
          <w:b/>
          <w:sz w:val="22"/>
          <w:szCs w:val="22"/>
        </w:rPr>
        <w:t>Chapters 7, 8, 9</w:t>
      </w:r>
    </w:p>
    <w:p w14:paraId="5C48D85F" w14:textId="77777777" w:rsidR="0039252F" w:rsidRPr="0039252F" w:rsidRDefault="0039252F" w:rsidP="0039252F">
      <w:pPr>
        <w:rPr>
          <w:rFonts w:asciiTheme="minorHAnsi" w:hAnsiTheme="minorHAnsi"/>
          <w:b/>
          <w:sz w:val="22"/>
          <w:szCs w:val="22"/>
        </w:rPr>
      </w:pPr>
      <w:r w:rsidRPr="0039252F">
        <w:rPr>
          <w:rFonts w:asciiTheme="minorHAnsi" w:hAnsiTheme="minorHAnsi"/>
          <w:b/>
          <w:sz w:val="22"/>
          <w:szCs w:val="22"/>
        </w:rPr>
        <w:t>Week 16</w:t>
      </w:r>
    </w:p>
    <w:p w14:paraId="0DF8CD63" w14:textId="71A18BC3" w:rsidR="00F95D67" w:rsidRPr="00603B11" w:rsidRDefault="0039252F" w:rsidP="0039252F">
      <w:pPr>
        <w:rPr>
          <w:rFonts w:ascii="Times New Roman" w:hAnsi="Times New Roman"/>
          <w:sz w:val="22"/>
          <w:szCs w:val="22"/>
          <w:u w:val="single"/>
        </w:rPr>
      </w:pPr>
      <w:r w:rsidRPr="0039252F">
        <w:rPr>
          <w:rFonts w:asciiTheme="minorHAnsi" w:hAnsiTheme="minorHAnsi"/>
          <w:b/>
          <w:sz w:val="22"/>
          <w:szCs w:val="22"/>
        </w:rPr>
        <w:t>Dead Week</w:t>
      </w:r>
    </w:p>
    <w:sectPr w:rsidR="00F95D67" w:rsidRPr="00603B1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8D92D" w14:textId="77777777" w:rsidR="00DE506D" w:rsidRDefault="00DE506D">
      <w:r>
        <w:separator/>
      </w:r>
    </w:p>
  </w:endnote>
  <w:endnote w:type="continuationSeparator" w:id="0">
    <w:p w14:paraId="2F292C09" w14:textId="77777777" w:rsidR="00DE506D" w:rsidRDefault="00DE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E8D15" w14:textId="77777777" w:rsidR="00F7497C" w:rsidRDefault="00F7497C">
    <w:pPr>
      <w:spacing w:line="240" w:lineRule="exact"/>
    </w:pPr>
  </w:p>
  <w:p w14:paraId="57B7207D" w14:textId="77777777" w:rsidR="00F7497C" w:rsidRDefault="0043392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56C4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27664EA7" w14:textId="77777777" w:rsidR="00F7497C" w:rsidRDefault="00F749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AA146" w14:textId="77777777" w:rsidR="00F7497C" w:rsidRDefault="00F7497C">
    <w:pPr>
      <w:spacing w:line="240" w:lineRule="exact"/>
    </w:pPr>
  </w:p>
  <w:p w14:paraId="1EA9C3DD" w14:textId="77777777" w:rsidR="00F7497C" w:rsidRDefault="0043392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9252F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71CBA90F" w14:textId="77777777" w:rsidR="00F7497C" w:rsidRDefault="00F74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1CD30" w14:textId="77777777" w:rsidR="00DE506D" w:rsidRDefault="00DE506D">
      <w:r>
        <w:separator/>
      </w:r>
    </w:p>
  </w:footnote>
  <w:footnote w:type="continuationSeparator" w:id="0">
    <w:p w14:paraId="6704338D" w14:textId="77777777" w:rsidR="00DE506D" w:rsidRDefault="00DE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870C9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0E404E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9252F"/>
    <w:rsid w:val="003A017F"/>
    <w:rsid w:val="003B7956"/>
    <w:rsid w:val="003C26F8"/>
    <w:rsid w:val="003C6852"/>
    <w:rsid w:val="003E0A8A"/>
    <w:rsid w:val="003E10F5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D91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56C46"/>
    <w:rsid w:val="0066032B"/>
    <w:rsid w:val="00665857"/>
    <w:rsid w:val="00670AB2"/>
    <w:rsid w:val="00674872"/>
    <w:rsid w:val="006941ED"/>
    <w:rsid w:val="006A6D34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D05D8"/>
    <w:rsid w:val="008E55D8"/>
    <w:rsid w:val="008E6EE1"/>
    <w:rsid w:val="00904029"/>
    <w:rsid w:val="00921789"/>
    <w:rsid w:val="0093563D"/>
    <w:rsid w:val="00941D3D"/>
    <w:rsid w:val="00957F03"/>
    <w:rsid w:val="00960DEC"/>
    <w:rsid w:val="00963309"/>
    <w:rsid w:val="0098169F"/>
    <w:rsid w:val="00981A5A"/>
    <w:rsid w:val="00990984"/>
    <w:rsid w:val="009C0435"/>
    <w:rsid w:val="009E49CF"/>
    <w:rsid w:val="00A141E6"/>
    <w:rsid w:val="00A230E2"/>
    <w:rsid w:val="00A42768"/>
    <w:rsid w:val="00A43C70"/>
    <w:rsid w:val="00A4406D"/>
    <w:rsid w:val="00A46356"/>
    <w:rsid w:val="00A71990"/>
    <w:rsid w:val="00A71D1F"/>
    <w:rsid w:val="00A86913"/>
    <w:rsid w:val="00A92728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A62DE"/>
    <w:rsid w:val="00DC2327"/>
    <w:rsid w:val="00DD42D5"/>
    <w:rsid w:val="00DD4C0F"/>
    <w:rsid w:val="00DE506D"/>
    <w:rsid w:val="00DF0DF7"/>
    <w:rsid w:val="00E0641A"/>
    <w:rsid w:val="00E21782"/>
    <w:rsid w:val="00E21A0F"/>
    <w:rsid w:val="00E52323"/>
    <w:rsid w:val="00E57F9F"/>
    <w:rsid w:val="00E71921"/>
    <w:rsid w:val="00E7717A"/>
    <w:rsid w:val="00E91946"/>
    <w:rsid w:val="00E923E5"/>
    <w:rsid w:val="00E96EB9"/>
    <w:rsid w:val="00EC3ED4"/>
    <w:rsid w:val="00ED0976"/>
    <w:rsid w:val="00ED1A24"/>
    <w:rsid w:val="00ED4924"/>
    <w:rsid w:val="00EF542D"/>
    <w:rsid w:val="00EF639F"/>
    <w:rsid w:val="00F050DB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FB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?page_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3749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Patrick</cp:lastModifiedBy>
  <cp:revision>6</cp:revision>
  <cp:lastPrinted>2011-09-28T12:22:00Z</cp:lastPrinted>
  <dcterms:created xsi:type="dcterms:W3CDTF">2012-07-11T20:26:00Z</dcterms:created>
  <dcterms:modified xsi:type="dcterms:W3CDTF">2014-01-27T00:45:00Z</dcterms:modified>
</cp:coreProperties>
</file>