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2146D9DB" w:rsidR="00774AA8" w:rsidRPr="00723695" w:rsidRDefault="00774AA8" w:rsidP="00520209">
            <w:pPr>
              <w:spacing w:before="100" w:beforeAutospacing="1" w:after="100" w:afterAutospacing="1"/>
              <w:rPr>
                <w:rFonts w:ascii="Calibri" w:hAnsi="Calibri"/>
                <w:b/>
                <w:sz w:val="28"/>
                <w:szCs w:val="28"/>
              </w:rPr>
            </w:pPr>
            <w:r w:rsidRPr="00723695">
              <w:rPr>
                <w:rFonts w:ascii="Calibri" w:hAnsi="Calibri"/>
                <w:b/>
                <w:sz w:val="28"/>
                <w:szCs w:val="28"/>
              </w:rPr>
              <w:t xml:space="preserve">Integrated Science &amp; Technology </w:t>
            </w:r>
            <w:r w:rsidR="00520209">
              <w:rPr>
                <w:rFonts w:ascii="Calibri" w:hAnsi="Calibri"/>
                <w:b/>
                <w:sz w:val="28"/>
                <w:szCs w:val="28"/>
              </w:rPr>
              <w:t>454</w:t>
            </w:r>
            <w:r>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Pr="00723695">
              <w:rPr>
                <w:rFonts w:ascii="Calibri" w:hAnsi="Calibri"/>
                <w:b/>
                <w:szCs w:val="28"/>
              </w:rPr>
              <w:t>Course Syllabus</w:t>
            </w:r>
            <w:r w:rsidRPr="00723695">
              <w:rPr>
                <w:sz w:val="22"/>
              </w:rPr>
              <w:t xml:space="preserve"> </w:t>
            </w:r>
          </w:p>
        </w:tc>
      </w:tr>
    </w:tbl>
    <w:p w14:paraId="033AAB03" w14:textId="34D5A609"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F748E0">
        <w:rPr>
          <w:rFonts w:ascii="Calibri" w:hAnsi="Calibri" w:cs="Arial"/>
          <w:b/>
          <w:bCs/>
          <w:szCs w:val="22"/>
        </w:rPr>
        <w:t>Fall 2014</w:t>
      </w:r>
      <w:r w:rsidRPr="00153AFB">
        <w:rPr>
          <w:rFonts w:ascii="Calibri" w:hAnsi="Calibri" w:cs="Arial"/>
          <w:b/>
          <w:bCs/>
          <w:szCs w:val="22"/>
        </w:rPr>
        <w:br/>
      </w:r>
      <w:r w:rsidR="00B2535F">
        <w:rPr>
          <w:rFonts w:ascii="Calibri" w:hAnsi="Calibri" w:cs="Arial"/>
          <w:b/>
          <w:bCs/>
          <w:szCs w:val="22"/>
        </w:rPr>
        <w:t>Online Class</w:t>
      </w:r>
    </w:p>
    <w:p w14:paraId="0B6D8FDA" w14:textId="77777777" w:rsidR="00AB4247" w:rsidRPr="00965AEC" w:rsidRDefault="00AB4247" w:rsidP="00AB424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9"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Pr>
          <w:rFonts w:ascii="Arial" w:hAnsi="Arial" w:cs="Arial"/>
          <w:bCs/>
          <w:sz w:val="22"/>
          <w:szCs w:val="22"/>
        </w:rPr>
        <w:t>: MWF 2:00 pm – 3</w:t>
      </w:r>
      <w:r w:rsidRPr="00965AEC">
        <w:rPr>
          <w:rFonts w:ascii="Arial" w:hAnsi="Arial" w:cs="Arial"/>
          <w:bCs/>
          <w:sz w:val="22"/>
          <w:szCs w:val="22"/>
        </w:rPr>
        <w:t xml:space="preserve">:00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553A9964" w14:textId="24A623FE" w:rsidR="00CB77DB" w:rsidRPr="00EA4535" w:rsidRDefault="00200923" w:rsidP="00157C82">
      <w:pPr>
        <w:pStyle w:val="Title"/>
        <w:rPr>
          <w:rFonts w:ascii="Calibri" w:hAnsi="Calibri" w:cs="Arial"/>
          <w:b/>
          <w:color w:val="000000"/>
          <w:sz w:val="22"/>
          <w:szCs w:val="22"/>
        </w:rPr>
      </w:pPr>
      <w:r>
        <w:rPr>
          <w:rFonts w:ascii="Calibri" w:hAnsi="Calibri" w:cs="Arial"/>
          <w:b/>
          <w:bCs/>
          <w:sz w:val="22"/>
          <w:szCs w:val="22"/>
        </w:rPr>
        <w:t>Course Start Date August 25</w:t>
      </w:r>
      <w:r w:rsidR="00EA4535">
        <w:rPr>
          <w:rFonts w:ascii="Calibri" w:hAnsi="Calibri" w:cs="Arial"/>
          <w:b/>
          <w:bCs/>
          <w:sz w:val="22"/>
          <w:szCs w:val="22"/>
        </w:rPr>
        <w:t>, 2014</w:t>
      </w:r>
      <w:r w:rsidR="00EA4535">
        <w:rPr>
          <w:rFonts w:ascii="Calibri" w:hAnsi="Calibri" w:cs="Arial"/>
          <w:bCs/>
          <w:sz w:val="22"/>
          <w:szCs w:val="22"/>
        </w:rPr>
        <w:br/>
      </w:r>
      <w:r>
        <w:rPr>
          <w:rFonts w:ascii="Calibri" w:hAnsi="Calibri" w:cs="Arial"/>
          <w:b/>
          <w:bCs/>
          <w:sz w:val="22"/>
          <w:szCs w:val="22"/>
        </w:rPr>
        <w:t>Course End Date December 12</w:t>
      </w:r>
      <w:r w:rsidR="00EA4535">
        <w:rPr>
          <w:rFonts w:ascii="Calibri" w:hAnsi="Calibri" w:cs="Arial"/>
          <w:b/>
          <w:bCs/>
          <w:sz w:val="22"/>
          <w:szCs w:val="22"/>
        </w:rPr>
        <w:t>, 2014</w:t>
      </w:r>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Pr="009343CD" w:rsidRDefault="005A5ABF" w:rsidP="005A5ABF">
      <w:pPr>
        <w:pStyle w:val="Heading1"/>
        <w:rPr>
          <w:rFonts w:asciiTheme="majorHAnsi" w:hAnsiTheme="majorHAnsi" w:cs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w:t>
      </w:r>
      <w:proofErr w:type="gramStart"/>
      <w:r>
        <w:rPr>
          <w:rFonts w:asciiTheme="majorHAnsi" w:hAnsiTheme="majorHAnsi" w:cstheme="majorHAnsi"/>
          <w:b w:val="0"/>
          <w:sz w:val="22"/>
          <w:szCs w:val="22"/>
        </w:rPr>
        <w:t>Jayson Street, Kent Nabors, Brian Baskin.</w:t>
      </w:r>
      <w:proofErr w:type="gramEnd"/>
      <w:r>
        <w:rPr>
          <w:rFonts w:asciiTheme="majorHAnsi" w:hAnsiTheme="majorHAnsi" w:cstheme="majorHAnsi"/>
          <w:b w:val="0"/>
          <w:sz w:val="22"/>
          <w:szCs w:val="22"/>
        </w:rPr>
        <w:t xml:space="preserve"> </w:t>
      </w:r>
      <w:proofErr w:type="spellStart"/>
      <w:proofErr w:type="gram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proofErr w:type="gramEnd"/>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5B3E3CB6" w:rsidR="00774AA8" w:rsidRPr="00FE1E81" w:rsidRDefault="00BB73C3">
      <w:pPr>
        <w:widowControl w:val="0"/>
        <w:spacing w:before="100" w:beforeAutospacing="1" w:after="100" w:afterAutospacing="1"/>
        <w:rPr>
          <w:rFonts w:ascii="Calibri" w:hAnsi="Calibri" w:cs="Calibri"/>
          <w:sz w:val="22"/>
          <w:szCs w:val="22"/>
        </w:rPr>
      </w:pPr>
      <w:r>
        <w:rPr>
          <w:rFonts w:ascii="Calibri" w:hAnsi="Calibri" w:cs="Arial"/>
          <w:sz w:val="22"/>
        </w:rPr>
        <w:t>IST 454</w:t>
      </w:r>
      <w:r w:rsidRPr="00FE1E81">
        <w:rPr>
          <w:rFonts w:ascii="Calibri" w:hAnsi="Calibri" w:cs="Arial"/>
          <w:sz w:val="22"/>
        </w:rPr>
        <w:t xml:space="preserve"> </w:t>
      </w:r>
      <w:r>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97534E">
        <w:rPr>
          <w:rFonts w:ascii="Calibri" w:hAnsi="Calibri" w:cs="Arial"/>
          <w:color w:val="000000"/>
          <w:sz w:val="22"/>
          <w:szCs w:val="22"/>
        </w:rPr>
        <w:t>The course is three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280CC2E" w14:textId="77777777" w:rsidR="004D33C8" w:rsidRDefault="00774AA8" w:rsidP="004821FA">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D70450" w:rsidRPr="00D70450">
        <w:rPr>
          <w:rFonts w:ascii="Calibri" w:hAnsi="Calibri" w:cs="Arial"/>
          <w:bCs/>
          <w:sz w:val="22"/>
          <w:szCs w:val="22"/>
        </w:rPr>
        <w:t>IST 261 Introduction to Linux</w:t>
      </w:r>
      <w:r w:rsidR="00D70450" w:rsidRPr="00D70450">
        <w:rPr>
          <w:rFonts w:ascii="Calibri" w:hAnsi="Calibri" w:cs="Arial"/>
          <w:bCs/>
          <w:sz w:val="22"/>
          <w:szCs w:val="22"/>
        </w:rPr>
        <w:br/>
        <w:t>IST 362 Network Protocols</w:t>
      </w:r>
      <w:r w:rsidR="00D70450" w:rsidRPr="00D70450">
        <w:rPr>
          <w:rFonts w:ascii="Calibri" w:hAnsi="Calibri" w:cs="Arial"/>
          <w:bCs/>
          <w:sz w:val="22"/>
          <w:szCs w:val="22"/>
        </w:rPr>
        <w:br/>
        <w:t>IST 363 Network Administration</w:t>
      </w:r>
      <w:r w:rsidR="00D70450">
        <w:rPr>
          <w:rFonts w:ascii="Calibri" w:hAnsi="Calibri" w:cs="Arial"/>
          <w:bCs/>
          <w:sz w:val="22"/>
          <w:szCs w:val="22"/>
        </w:rPr>
        <w:br/>
      </w:r>
    </w:p>
    <w:p w14:paraId="3C8DD651" w14:textId="388FD953"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Pr>
          <w:rFonts w:ascii="Calibri" w:hAnsi="Calibri" w:cs="Arial"/>
          <w:color w:val="000000"/>
          <w:sz w:val="22"/>
          <w:szCs w:val="22"/>
        </w:rPr>
        <w:t>Computer Requirements: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5680ED16"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2D2B8E" w:rsidRPr="002D2B8E">
              <w:rPr>
                <w:b/>
              </w:rPr>
              <w:t>Apply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CF0E48">
        <w:trPr>
          <w:trHeight w:val="3581"/>
        </w:trPr>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36303BD0"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Students will</w:t>
            </w:r>
            <w:r w:rsidR="00CF0E48">
              <w:rPr>
                <w:rFonts w:asciiTheme="majorHAnsi" w:hAnsiTheme="majorHAnsi"/>
                <w:sz w:val="22"/>
                <w:szCs w:val="22"/>
              </w:rPr>
              <w:t xml:space="preserve"> </w:t>
            </w:r>
            <w:r w:rsidR="00CF0E48" w:rsidRPr="00EB2ED3">
              <w:rPr>
                <w:rFonts w:asciiTheme="majorHAnsi" w:hAnsiTheme="majorHAnsi"/>
                <w:b/>
                <w:sz w:val="22"/>
                <w:szCs w:val="22"/>
              </w:rPr>
              <w:t>identify</w:t>
            </w:r>
            <w:r w:rsidR="00CF0E48">
              <w:rPr>
                <w:rFonts w:asciiTheme="majorHAnsi" w:hAnsiTheme="majorHAnsi"/>
                <w:sz w:val="22"/>
                <w:szCs w:val="22"/>
              </w:rPr>
              <w:t xml:space="preserve">, </w:t>
            </w:r>
            <w:r w:rsidR="00CF0E48" w:rsidRPr="00EB2ED3">
              <w:rPr>
                <w:rFonts w:asciiTheme="majorHAnsi" w:hAnsiTheme="majorHAnsi"/>
                <w:b/>
                <w:sz w:val="22"/>
                <w:szCs w:val="22"/>
              </w:rPr>
              <w:t>defend</w:t>
            </w:r>
            <w:r w:rsidR="00CF0E48">
              <w:rPr>
                <w:rFonts w:asciiTheme="majorHAnsi" w:hAnsiTheme="majorHAnsi"/>
                <w:sz w:val="22"/>
                <w:szCs w:val="22"/>
              </w:rPr>
              <w:t xml:space="preserve">, and </w:t>
            </w:r>
            <w:r w:rsidR="00CF0E48" w:rsidRPr="00EB2ED3">
              <w:rPr>
                <w:rFonts w:asciiTheme="majorHAnsi" w:hAnsiTheme="majorHAnsi"/>
                <w:b/>
                <w:sz w:val="22"/>
                <w:szCs w:val="22"/>
              </w:rPr>
              <w:t>manage</w:t>
            </w:r>
            <w:r w:rsidR="00CF0E48">
              <w:rPr>
                <w:rFonts w:asciiTheme="majorHAnsi" w:hAnsiTheme="majorHAnsi"/>
                <w:sz w:val="22"/>
                <w:szCs w:val="22"/>
              </w:rPr>
              <w:t xml:space="preserve"> threats against digital information.</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w:t>
            </w:r>
            <w:proofErr w:type="gramStart"/>
            <w:r>
              <w:rPr>
                <w:rFonts w:asciiTheme="majorHAnsi" w:hAnsiTheme="majorHAnsi"/>
                <w:sz w:val="22"/>
                <w:szCs w:val="22"/>
              </w:rPr>
              <w:t>; ;</w:t>
            </w:r>
            <w:proofErr w:type="gramEnd"/>
            <w:r>
              <w:rPr>
                <w:rFonts w:asciiTheme="majorHAnsi" w:hAnsiTheme="majorHAnsi"/>
                <w:sz w:val="22"/>
                <w:szCs w:val="22"/>
              </w:rPr>
              <w:t xml:space="preserve">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517734F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6 - Log Analysis and Module 7 - Recon - Do It Yourself: Hacking 3DNF (Project) 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11 - Module 12 - Explore - Network Traffic Sniffing</w:t>
      </w:r>
    </w:p>
    <w:p w14:paraId="6D62972A" w14:textId="360DCC7A"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12 </w:t>
      </w:r>
      <w:r w:rsidR="00C57E50">
        <w:rPr>
          <w:rFonts w:ascii="Arial" w:hAnsi="Arial" w:cs="Arial"/>
          <w:b/>
          <w:bCs/>
          <w:color w:val="000000"/>
          <w:sz w:val="20"/>
          <w:szCs w:val="20"/>
        </w:rPr>
        <w:t>–</w:t>
      </w:r>
      <w:r>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Pr>
          <w:rFonts w:ascii="Arial" w:hAnsi="Arial" w:cs="Arial"/>
          <w:b/>
          <w:bCs/>
          <w:color w:val="000000"/>
          <w:sz w:val="20"/>
          <w:szCs w:val="20"/>
        </w:rPr>
        <w:t>Module 14 - Exploit - Email Security</w:t>
      </w:r>
    </w:p>
    <w:p w14:paraId="7A4E1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13 and Week 14 - Module 15 - Exploit - </w:t>
      </w:r>
      <w:proofErr w:type="spellStart"/>
      <w:r>
        <w:rPr>
          <w:rFonts w:ascii="Arial" w:hAnsi="Arial" w:cs="Arial"/>
          <w:b/>
          <w:bCs/>
          <w:color w:val="000000"/>
          <w:sz w:val="20"/>
          <w:szCs w:val="20"/>
        </w:rPr>
        <w:t>Metasploit</w:t>
      </w:r>
      <w:proofErr w:type="spellEnd"/>
    </w:p>
    <w:p w14:paraId="3FC94B4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14 and Week 15 - Module 16- Hacker Culture</w:t>
      </w:r>
    </w:p>
    <w:p w14:paraId="6A8D7FCF" w14:textId="285AE892" w:rsidR="00D23EEB" w:rsidRP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16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proofErr w:type="gramStart"/>
            <w:r>
              <w:rPr>
                <w:rFonts w:ascii="Calibri" w:hAnsi="Calibri" w:cs="Arial"/>
                <w:color w:val="000000"/>
                <w:sz w:val="22"/>
                <w:szCs w:val="22"/>
              </w:rPr>
              <w:t>%</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roofErr w:type="gramEnd"/>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C5B9CA5"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UNIVERSITY POLICIES</w:t>
      </w:r>
    </w:p>
    <w:p w14:paraId="31951DD7"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Academic Dishonesty</w:t>
      </w:r>
    </w:p>
    <w:p w14:paraId="40A687EA"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should be familiar with the university’s policy concerning academic dishonesty. This policy can be found on pp. 66 - 68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61 – 63 in the 2009 online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xml:space="preserve">. (Faculty </w:t>
      </w:r>
      <w:proofErr w:type="gramStart"/>
      <w:r w:rsidRPr="00514715">
        <w:rPr>
          <w:rFonts w:asciiTheme="majorHAnsi" w:hAnsiTheme="majorHAnsi" w:cs="Arial"/>
          <w:color w:val="000000"/>
          <w:sz w:val="22"/>
          <w:szCs w:val="22"/>
        </w:rPr>
        <w:t>are</w:t>
      </w:r>
      <w:proofErr w:type="gramEnd"/>
      <w:r w:rsidRPr="00514715">
        <w:rPr>
          <w:rFonts w:asciiTheme="majorHAnsi" w:hAnsiTheme="majorHAnsi" w:cs="Arial"/>
          <w:color w:val="000000"/>
          <w:sz w:val="22"/>
          <w:szCs w:val="22"/>
        </w:rPr>
        <w:t xml:space="preserve"> encouraged to add any additional information specific to their expectations and/or rules regarding academic dishonesty in their class).</w:t>
      </w:r>
    </w:p>
    <w:p w14:paraId="61013AF2"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4FB8E86F"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Policy for Students with Disabilities</w:t>
      </w:r>
    </w:p>
    <w:p w14:paraId="073F3F58"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lastRenderedPageBreak/>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w:t>
      </w:r>
    </w:p>
    <w:p w14:paraId="2BE791A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3B9CEA8" w14:textId="206DB5E3"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instructor and student will meet to discuss how the accommodation(s) requested will be provided. For more information, please visit </w:t>
      </w:r>
      <w:r w:rsidRPr="00514715">
        <w:rPr>
          <w:rFonts w:asciiTheme="majorHAnsi" w:hAnsiTheme="majorHAnsi" w:cs="Arial"/>
          <w:color w:val="0000FF"/>
          <w:sz w:val="22"/>
          <w:szCs w:val="22"/>
        </w:rPr>
        <w:t xml:space="preserve">http://www.marshall.edu/disabled </w:t>
      </w:r>
      <w:r w:rsidRPr="00514715">
        <w:rPr>
          <w:rFonts w:asciiTheme="majorHAnsi" w:hAnsiTheme="majorHAnsi" w:cs="Arial"/>
          <w:color w:val="000000"/>
          <w:sz w:val="22"/>
          <w:szCs w:val="22"/>
        </w:rPr>
        <w:t>or contact Disabled Student Services Office at Prichard Hall 11, phone 304-696-2271.</w:t>
      </w:r>
    </w:p>
    <w:p w14:paraId="6DCC1C8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A39BE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University Computing Services’ Acceptable Use Policy:</w:t>
      </w:r>
    </w:p>
    <w:p w14:paraId="645A7C8B" w14:textId="773D7242"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are responsible for knowing this policy, which can be found on the web at </w:t>
      </w:r>
      <w:hyperlink r:id="rId10" w:history="1">
        <w:r w:rsidRPr="00514715">
          <w:rPr>
            <w:rStyle w:val="Hyperlink"/>
            <w:rFonts w:asciiTheme="majorHAnsi" w:hAnsiTheme="majorHAnsi" w:cs="Arial"/>
            <w:sz w:val="22"/>
            <w:szCs w:val="22"/>
          </w:rPr>
          <w:t>http://www.marshall.edu/ucs/CS/accptuse.asp</w:t>
        </w:r>
      </w:hyperlink>
      <w:r w:rsidRPr="00514715">
        <w:rPr>
          <w:rFonts w:asciiTheme="majorHAnsi" w:hAnsiTheme="majorHAnsi" w:cs="Arial"/>
          <w:color w:val="000000"/>
          <w:sz w:val="22"/>
          <w:szCs w:val="22"/>
        </w:rPr>
        <w:t>.</w:t>
      </w:r>
    </w:p>
    <w:p w14:paraId="4A6FEF0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7E68BCCE"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000000"/>
          <w:sz w:val="22"/>
          <w:szCs w:val="22"/>
        </w:rPr>
        <w:t>Affirmative Action Policy</w:t>
      </w:r>
      <w:r w:rsidRPr="00514715">
        <w:rPr>
          <w:rFonts w:asciiTheme="majorHAnsi" w:hAnsiTheme="majorHAnsi" w:cs="Arial"/>
          <w:color w:val="000000"/>
          <w:sz w:val="22"/>
          <w:szCs w:val="22"/>
        </w:rPr>
        <w:t>:</w:t>
      </w:r>
    </w:p>
    <w:p w14:paraId="132022A6"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This course will follow Marshall University’s policy on Affirmative Action, which can be found on p. 63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16-17 of the 2008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Specifically, all students will be afforded equal opportunity without regard to race, color, sex, religion, age, disability, national origin, or sexual orientation.</w:t>
      </w:r>
    </w:p>
    <w:p w14:paraId="0B55487D"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521E4948" w14:textId="601BAAB5" w:rsidR="00177F58" w:rsidRPr="00675D77" w:rsidRDefault="003D78AA" w:rsidP="0067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sidR="00675D77">
        <w:rPr>
          <w:rFonts w:asciiTheme="majorHAnsi" w:hAnsiTheme="majorHAnsi" w:cs="Arial"/>
          <w:b/>
          <w:bCs/>
          <w:color w:val="000000"/>
          <w:sz w:val="22"/>
          <w:szCs w:val="22"/>
        </w:rPr>
        <w:t xml:space="preserve">: </w:t>
      </w:r>
      <w:r w:rsidR="00675D77" w:rsidRPr="00675D77">
        <w:rPr>
          <w:rFonts w:asciiTheme="majorHAnsi" w:hAnsiTheme="majorHAnsi" w:cs="Arial"/>
          <w:bCs/>
          <w:color w:val="000000"/>
          <w:sz w:val="22"/>
          <w:szCs w:val="22"/>
        </w:rPr>
        <w:t>http://www.marshall.edu/calendar/academic/fall2014.asp</w:t>
      </w:r>
    </w:p>
    <w:p w14:paraId="6EEE2E9D" w14:textId="74021C18" w:rsidR="00177F58" w:rsidRDefault="00177F58">
      <w:pPr>
        <w:pStyle w:val="NormalWeb"/>
        <w:rPr>
          <w:rFonts w:ascii="Calibri" w:hAnsi="Calibri" w:cs="Arial"/>
          <w:b/>
          <w:szCs w:val="22"/>
          <w:u w:val="single"/>
        </w:rPr>
      </w:pPr>
      <w:r>
        <w:rPr>
          <w:rFonts w:ascii="Calibri" w:hAnsi="Calibri" w:cs="Arial"/>
          <w:b/>
          <w:szCs w:val="22"/>
          <w:u w:val="single"/>
        </w:rPr>
        <w:t xml:space="preserve"> </w:t>
      </w:r>
      <w:r w:rsidR="005D48A6">
        <w:rPr>
          <w:rFonts w:ascii="Calibri" w:hAnsi="Calibri" w:cs="Arial"/>
          <w:b/>
          <w:szCs w:val="22"/>
          <w:u w:val="single"/>
        </w:rPr>
        <w:t>About Me</w:t>
      </w:r>
    </w:p>
    <w:p w14:paraId="10B4C084" w14:textId="7A30F5C8"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Threats”</w:t>
      </w:r>
      <w:bookmarkStart w:id="0" w:name="_GoBack"/>
      <w:bookmarkEnd w:id="0"/>
      <w:r w:rsidRPr="00A40D8C">
        <w:rPr>
          <w:rFonts w:asciiTheme="majorHAnsi" w:hAnsiTheme="majorHAnsi" w:cs="Lucida Grande"/>
          <w:sz w:val="22"/>
          <w:szCs w:val="22"/>
          <w:bdr w:val="none" w:sz="0" w:space="0" w:color="auto" w:frame="1"/>
        </w:rPr>
        <w:t>,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r w:rsidRPr="00A40D8C">
        <w:rPr>
          <w:rFonts w:asciiTheme="majorHAnsi" w:hAnsiTheme="majorHAnsi" w:cs="Lucida Grande"/>
          <w:sz w:val="22"/>
          <w:szCs w:val="22"/>
        </w:rPr>
        <w:fldChar w:fldCharType="begin"/>
      </w:r>
      <w:r w:rsidRPr="00A40D8C">
        <w:rPr>
          <w:rFonts w:asciiTheme="majorHAnsi" w:hAnsiTheme="majorHAnsi" w:cs="Lucida Grande"/>
          <w:sz w:val="22"/>
          <w:szCs w:val="22"/>
        </w:rPr>
        <w:instrText xml:space="preserve"> HYPERLINK "https://www.linkedin.com/in/304blogs" \t "_blank" </w:instrText>
      </w:r>
      <w:r w:rsidRPr="00A40D8C">
        <w:rPr>
          <w:rFonts w:asciiTheme="majorHAnsi" w:hAnsiTheme="majorHAnsi" w:cs="Lucida Grande"/>
          <w:sz w:val="22"/>
          <w:szCs w:val="22"/>
        </w:rPr>
        <w:fldChar w:fldCharType="separate"/>
      </w:r>
      <w:r w:rsidRPr="00A40D8C">
        <w:rPr>
          <w:rStyle w:val="Hyperlink"/>
          <w:rFonts w:asciiTheme="majorHAnsi" w:hAnsiTheme="majorHAnsi" w:cs="Lucida Grande"/>
          <w:color w:val="auto"/>
          <w:sz w:val="22"/>
          <w:szCs w:val="22"/>
          <w:bdr w:val="none" w:sz="0" w:space="0" w:color="auto" w:frame="1"/>
        </w:rPr>
        <w:t>https://www.linkedin.com/in/304blogs</w:t>
      </w:r>
      <w:r w:rsidRPr="00A40D8C">
        <w:rPr>
          <w:rFonts w:asciiTheme="majorHAnsi" w:hAnsiTheme="majorHAnsi" w:cs="Lucida Grande"/>
          <w:sz w:val="22"/>
          <w:szCs w:val="22"/>
        </w:rPr>
        <w:fldChar w:fldCharType="end"/>
      </w:r>
    </w:p>
    <w:p w14:paraId="0A0B7131" w14:textId="46C86041" w:rsidR="005D48A6" w:rsidRPr="00696F70" w:rsidRDefault="005D48A6">
      <w:pPr>
        <w:pStyle w:val="NormalWeb"/>
        <w:rPr>
          <w:rFonts w:ascii="Calibri" w:hAnsi="Calibri" w:cs="Arial"/>
          <w:b/>
          <w:szCs w:val="22"/>
          <w:u w:val="single"/>
        </w:rPr>
      </w:pPr>
    </w:p>
    <w:sectPr w:rsidR="005D48A6" w:rsidRPr="00696F70" w:rsidSect="00774AA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FF9B" w14:textId="77777777" w:rsidR="00AB4247" w:rsidRDefault="00AB4247" w:rsidP="00FB4FB0">
      <w:r>
        <w:separator/>
      </w:r>
    </w:p>
  </w:endnote>
  <w:endnote w:type="continuationSeparator" w:id="0">
    <w:p w14:paraId="56DB3DE3" w14:textId="77777777" w:rsidR="00AB4247" w:rsidRDefault="00AB4247"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1B94" w14:textId="2E9850A8" w:rsidR="00AB4247" w:rsidRDefault="00AB4247">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IST 454</w:t>
    </w:r>
    <w:proofErr w:type="gramStart"/>
    <w:r>
      <w:rPr>
        <w:rFonts w:ascii="Cambria" w:hAnsi="Cambria"/>
      </w:rPr>
      <w:t>::</w:t>
    </w:r>
    <w:proofErr w:type="gramEnd"/>
    <w:r>
      <w:rPr>
        <w:rFonts w:ascii="Cambria" w:hAnsi="Cambria"/>
      </w:rPr>
      <w:t xml:space="preserve"> Gardner :: Fall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042E" w:rsidRPr="00F0042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B3D1193" w14:textId="77777777" w:rsidR="00AB4247" w:rsidRDefault="00AB4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C1EF" w14:textId="77777777" w:rsidR="00AB4247" w:rsidRDefault="00AB4247" w:rsidP="00FB4FB0">
      <w:r>
        <w:separator/>
      </w:r>
    </w:p>
  </w:footnote>
  <w:footnote w:type="continuationSeparator" w:id="0">
    <w:p w14:paraId="0B950272" w14:textId="77777777" w:rsidR="00AB4247" w:rsidRDefault="00AB4247"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175A6"/>
    <w:rsid w:val="000351B3"/>
    <w:rsid w:val="00062322"/>
    <w:rsid w:val="0008455B"/>
    <w:rsid w:val="000935E2"/>
    <w:rsid w:val="000B6615"/>
    <w:rsid w:val="000C2F88"/>
    <w:rsid w:val="000C5670"/>
    <w:rsid w:val="000C5ED3"/>
    <w:rsid w:val="000D5B8A"/>
    <w:rsid w:val="000E4905"/>
    <w:rsid w:val="000E67B3"/>
    <w:rsid w:val="00131C99"/>
    <w:rsid w:val="00137093"/>
    <w:rsid w:val="001427CB"/>
    <w:rsid w:val="001467ED"/>
    <w:rsid w:val="00157C82"/>
    <w:rsid w:val="0016628F"/>
    <w:rsid w:val="0017790E"/>
    <w:rsid w:val="00177F58"/>
    <w:rsid w:val="001B1F92"/>
    <w:rsid w:val="001B66C3"/>
    <w:rsid w:val="001D6F81"/>
    <w:rsid w:val="001F25AA"/>
    <w:rsid w:val="00200923"/>
    <w:rsid w:val="002033E0"/>
    <w:rsid w:val="00223612"/>
    <w:rsid w:val="00224055"/>
    <w:rsid w:val="002459EF"/>
    <w:rsid w:val="00250A3D"/>
    <w:rsid w:val="002858CB"/>
    <w:rsid w:val="002A1055"/>
    <w:rsid w:val="002A2AAE"/>
    <w:rsid w:val="002A54AC"/>
    <w:rsid w:val="002B6C6E"/>
    <w:rsid w:val="002B7711"/>
    <w:rsid w:val="002D2B8E"/>
    <w:rsid w:val="002F4BA3"/>
    <w:rsid w:val="00314B2E"/>
    <w:rsid w:val="0031684A"/>
    <w:rsid w:val="00316DA9"/>
    <w:rsid w:val="00344615"/>
    <w:rsid w:val="00353CB1"/>
    <w:rsid w:val="00357CF6"/>
    <w:rsid w:val="00372214"/>
    <w:rsid w:val="003732FF"/>
    <w:rsid w:val="00373381"/>
    <w:rsid w:val="0037610F"/>
    <w:rsid w:val="003C3DC5"/>
    <w:rsid w:val="003C52C8"/>
    <w:rsid w:val="003D78AA"/>
    <w:rsid w:val="003E36A8"/>
    <w:rsid w:val="003F2C66"/>
    <w:rsid w:val="003F3407"/>
    <w:rsid w:val="00432AB3"/>
    <w:rsid w:val="00446D0E"/>
    <w:rsid w:val="004821FA"/>
    <w:rsid w:val="004A50F8"/>
    <w:rsid w:val="004C2959"/>
    <w:rsid w:val="004D33C8"/>
    <w:rsid w:val="004D61F6"/>
    <w:rsid w:val="004F129C"/>
    <w:rsid w:val="004F7CC7"/>
    <w:rsid w:val="00514000"/>
    <w:rsid w:val="00514715"/>
    <w:rsid w:val="00520209"/>
    <w:rsid w:val="00527675"/>
    <w:rsid w:val="00561EDF"/>
    <w:rsid w:val="00587F6E"/>
    <w:rsid w:val="00596EB4"/>
    <w:rsid w:val="005A5ABF"/>
    <w:rsid w:val="005B3553"/>
    <w:rsid w:val="005C104B"/>
    <w:rsid w:val="005D48A6"/>
    <w:rsid w:val="005E4A05"/>
    <w:rsid w:val="005E71CD"/>
    <w:rsid w:val="005E7A84"/>
    <w:rsid w:val="0064176E"/>
    <w:rsid w:val="006476B9"/>
    <w:rsid w:val="00652CB0"/>
    <w:rsid w:val="006659B2"/>
    <w:rsid w:val="00673B40"/>
    <w:rsid w:val="00675110"/>
    <w:rsid w:val="00675D77"/>
    <w:rsid w:val="006E4379"/>
    <w:rsid w:val="006F19BA"/>
    <w:rsid w:val="006F4D1B"/>
    <w:rsid w:val="00701506"/>
    <w:rsid w:val="007548EC"/>
    <w:rsid w:val="00756177"/>
    <w:rsid w:val="00774AA8"/>
    <w:rsid w:val="00782B60"/>
    <w:rsid w:val="00783238"/>
    <w:rsid w:val="00783D24"/>
    <w:rsid w:val="007D5441"/>
    <w:rsid w:val="007F0D94"/>
    <w:rsid w:val="00801A4F"/>
    <w:rsid w:val="00804446"/>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A13399"/>
    <w:rsid w:val="00A22A4D"/>
    <w:rsid w:val="00A24DAA"/>
    <w:rsid w:val="00A35742"/>
    <w:rsid w:val="00A40D8C"/>
    <w:rsid w:val="00A431D3"/>
    <w:rsid w:val="00A50B0F"/>
    <w:rsid w:val="00A6126F"/>
    <w:rsid w:val="00A64A53"/>
    <w:rsid w:val="00A73223"/>
    <w:rsid w:val="00A767C3"/>
    <w:rsid w:val="00A773F2"/>
    <w:rsid w:val="00A82B83"/>
    <w:rsid w:val="00AA4778"/>
    <w:rsid w:val="00AA58CB"/>
    <w:rsid w:val="00AB0B8F"/>
    <w:rsid w:val="00AB13DC"/>
    <w:rsid w:val="00AB2993"/>
    <w:rsid w:val="00AB4247"/>
    <w:rsid w:val="00AC2191"/>
    <w:rsid w:val="00AC5BB5"/>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CF0E48"/>
    <w:rsid w:val="00D047AE"/>
    <w:rsid w:val="00D0793F"/>
    <w:rsid w:val="00D11423"/>
    <w:rsid w:val="00D1145E"/>
    <w:rsid w:val="00D2342C"/>
    <w:rsid w:val="00D23EEB"/>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30C05"/>
    <w:rsid w:val="00E37BFA"/>
    <w:rsid w:val="00E53E4C"/>
    <w:rsid w:val="00E81079"/>
    <w:rsid w:val="00E9059E"/>
    <w:rsid w:val="00E9123F"/>
    <w:rsid w:val="00E92746"/>
    <w:rsid w:val="00EA2F16"/>
    <w:rsid w:val="00EA4535"/>
    <w:rsid w:val="00EB2ED3"/>
    <w:rsid w:val="00EE5559"/>
    <w:rsid w:val="00EF0E54"/>
    <w:rsid w:val="00EF5C91"/>
    <w:rsid w:val="00F0042E"/>
    <w:rsid w:val="00F14B5E"/>
    <w:rsid w:val="00F469F1"/>
    <w:rsid w:val="00F4744A"/>
    <w:rsid w:val="00F56A15"/>
    <w:rsid w:val="00F748E0"/>
    <w:rsid w:val="00FB4FB0"/>
    <w:rsid w:val="00FC7039"/>
    <w:rsid w:val="00FD1ACE"/>
    <w:rsid w:val="00FD3908"/>
    <w:rsid w:val="00FD6D98"/>
    <w:rsid w:val="00FE1E81"/>
    <w:rsid w:val="00FE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footer" w:uiPriority="99"/>
    <w:lsdException w:name="List Bullet" w:uiPriority="99"/>
    <w:lsdException w:name="Strong" w:uiPriority="22" w:qFormat="1"/>
    <w:lsdException w:name="Normal (Web)" w:uiPriority="99"/>
    <w:lsdException w:name="No Spacing" w:uiPriority="1"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footer" w:uiPriority="99"/>
    <w:lsdException w:name="List Bullet" w:uiPriority="99"/>
    <w:lsdException w:name="Strong" w:uiPriority="22" w:qFormat="1"/>
    <w:lsdException w:name="Normal (Web)" w:uiPriority="99"/>
    <w:lsdException w:name="No Spacing" w:uiPriority="1"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hyperlink" Target="http://www.marshall.edu/ucs/CS/accpt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7</cp:revision>
  <cp:lastPrinted>2012-08-27T13:48:00Z</cp:lastPrinted>
  <dcterms:created xsi:type="dcterms:W3CDTF">2014-08-13T01:21:00Z</dcterms:created>
  <dcterms:modified xsi:type="dcterms:W3CDTF">2014-08-24T01:30:00Z</dcterms:modified>
</cp:coreProperties>
</file>